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3B9540D4" w14:textId="0FA2E08B" w:rsidR="00D31C7F" w:rsidRDefault="006452B3" w:rsidP="00D31C7F">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9B64DC" w:rsidRPr="009B64DC">
        <w:rPr>
          <w:rFonts w:ascii="Times New Roman" w:hAnsi="Times New Roman"/>
          <w:spacing w:val="-6"/>
        </w:rPr>
        <w:t xml:space="preserve">устройств контактных </w:t>
      </w:r>
      <w:r w:rsidR="009B64DC" w:rsidRPr="00D31C7F">
        <w:rPr>
          <w:rFonts w:ascii="Times New Roman" w:hAnsi="Times New Roman"/>
          <w:bCs/>
        </w:rPr>
        <w:t xml:space="preserve"> </w:t>
      </w:r>
    </w:p>
    <w:p w14:paraId="571342A8" w14:textId="14A9F290" w:rsidR="006452B3" w:rsidRPr="00D31C7F" w:rsidRDefault="00D1357A" w:rsidP="00D31C7F">
      <w:pPr>
        <w:pStyle w:val="a"/>
        <w:numPr>
          <w:ilvl w:val="0"/>
          <w:numId w:val="0"/>
        </w:numPr>
        <w:spacing w:before="100" w:beforeAutospacing="1"/>
        <w:jc w:val="center"/>
        <w:rPr>
          <w:rFonts w:ascii="Times New Roman" w:hAnsi="Times New Roman"/>
          <w:bCs/>
        </w:rPr>
      </w:pPr>
      <w:r>
        <w:rPr>
          <w:rFonts w:ascii="Times New Roman" w:hAnsi="Times New Roman"/>
          <w:bCs/>
        </w:rPr>
        <w:t>9-2024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B789D15"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1E3645">
        <w:rPr>
          <w:rFonts w:ascii="Times New Roman" w:hAnsi="Times New Roman"/>
          <w:b/>
          <w:sz w:val="24"/>
        </w:rPr>
        <w:t>25</w:t>
      </w:r>
      <w:r w:rsidR="00002740" w:rsidRPr="00120E43">
        <w:rPr>
          <w:rFonts w:ascii="Times New Roman" w:hAnsi="Times New Roman"/>
          <w:b/>
          <w:sz w:val="24"/>
          <w:szCs w:val="24"/>
        </w:rPr>
        <w:t>.</w:t>
      </w:r>
      <w:r w:rsidR="00D1357A">
        <w:rPr>
          <w:rFonts w:ascii="Times New Roman" w:hAnsi="Times New Roman"/>
          <w:b/>
          <w:sz w:val="24"/>
          <w:szCs w:val="24"/>
        </w:rPr>
        <w:t>04</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DA3DEB" w:rsidRPr="00120E43">
        <w:rPr>
          <w:rFonts w:ascii="Times New Roman" w:hAnsi="Times New Roman"/>
          <w:b/>
          <w:sz w:val="24"/>
          <w:szCs w:val="24"/>
        </w:rPr>
        <w:t>0</w:t>
      </w:r>
      <w:r w:rsidR="00324F62" w:rsidRPr="00120E43">
        <w:rPr>
          <w:rFonts w:ascii="Times New Roman" w:hAnsi="Times New Roman"/>
          <w:b/>
          <w:sz w:val="24"/>
          <w:szCs w:val="24"/>
        </w:rPr>
        <w:t>:00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9A2159B" w:rsidR="005043E5" w:rsidRPr="00C75A82" w:rsidRDefault="0001123D" w:rsidP="00D749A1">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устройств контактных </w:t>
      </w:r>
      <w:r w:rsidR="00B5226A" w:rsidRPr="006C3105">
        <w:rPr>
          <w:rFonts w:ascii="Times New Roman" w:hAnsi="Times New Roman"/>
          <w:sz w:val="24"/>
          <w:szCs w:val="24"/>
        </w:rPr>
        <w:t xml:space="preserve"> </w:t>
      </w:r>
      <w:r w:rsidR="00B5226A">
        <w:rPr>
          <w:rFonts w:ascii="Times New Roman" w:hAnsi="Times New Roman"/>
          <w:sz w:val="24"/>
          <w:szCs w:val="24"/>
        </w:rPr>
        <w:t xml:space="preserve"> </w:t>
      </w:r>
      <w:r w:rsidR="00D749A1">
        <w:rPr>
          <w:rFonts w:ascii="Times New Roman" w:hAnsi="Times New Roman"/>
          <w:sz w:val="24"/>
          <w:szCs w:val="24"/>
        </w:rPr>
        <w:t>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48E16A97"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C3105">
        <w:rPr>
          <w:rFonts w:ascii="Times New Roman" w:hAnsi="Times New Roman"/>
          <w:sz w:val="24"/>
          <w:szCs w:val="24"/>
        </w:rPr>
        <w:t xml:space="preserve">Поставке </w:t>
      </w:r>
      <w:r w:rsidR="00B5226A" w:rsidRPr="00B1746B">
        <w:rPr>
          <w:rFonts w:ascii="Times New Roman" w:hAnsi="Times New Roman"/>
          <w:spacing w:val="-6"/>
          <w:sz w:val="22"/>
          <w:szCs w:val="22"/>
        </w:rPr>
        <w:t xml:space="preserve">устройств контактных </w:t>
      </w:r>
      <w:r w:rsidR="00B5226A">
        <w:rPr>
          <w:rFonts w:ascii="Times New Roman" w:hAnsi="Times New Roman"/>
          <w:sz w:val="24"/>
          <w:szCs w:val="24"/>
        </w:rPr>
        <w:t xml:space="preserve">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lastRenderedPageBreak/>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0DEDF838"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w:t>
      </w:r>
      <w:r w:rsidR="001E3645">
        <w:rPr>
          <w:rFonts w:ascii="Times New Roman" w:hAnsi="Times New Roman"/>
          <w:b/>
          <w:sz w:val="24"/>
        </w:rPr>
        <w:t>5</w:t>
      </w:r>
      <w:bookmarkStart w:id="0" w:name="_GoBack"/>
      <w:bookmarkEnd w:id="0"/>
      <w:r w:rsidRPr="00965991">
        <w:rPr>
          <w:rFonts w:ascii="Times New Roman" w:hAnsi="Times New Roman"/>
          <w:b/>
          <w:sz w:val="24"/>
        </w:rPr>
        <w:t xml:space="preserve">» </w:t>
      </w:r>
      <w:r w:rsidR="00D1357A">
        <w:rPr>
          <w:rFonts w:ascii="Times New Roman" w:hAnsi="Times New Roman"/>
          <w:b/>
          <w:sz w:val="24"/>
        </w:rPr>
        <w:t>июня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4A21BEE9"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D1357A">
        <w:rPr>
          <w:rFonts w:ascii="Times New Roman" w:hAnsi="Times New Roman"/>
          <w:b/>
          <w:sz w:val="24"/>
          <w:szCs w:val="24"/>
        </w:rPr>
        <w:t>1</w:t>
      </w:r>
      <w:r w:rsidR="006024FF">
        <w:rPr>
          <w:rFonts w:ascii="Times New Roman" w:hAnsi="Times New Roman"/>
          <w:b/>
          <w:sz w:val="24"/>
          <w:szCs w:val="24"/>
        </w:rPr>
        <w:t>1</w:t>
      </w:r>
      <w:r w:rsidR="00D1357A" w:rsidRPr="00C34BC2">
        <w:rPr>
          <w:rFonts w:ascii="Times New Roman" w:hAnsi="Times New Roman"/>
          <w:b/>
          <w:sz w:val="24"/>
          <w:szCs w:val="24"/>
        </w:rPr>
        <w:t xml:space="preserve">» </w:t>
      </w:r>
      <w:r w:rsidR="00D1357A">
        <w:rPr>
          <w:rFonts w:ascii="Times New Roman" w:hAnsi="Times New Roman"/>
          <w:b/>
          <w:sz w:val="24"/>
          <w:szCs w:val="24"/>
        </w:rPr>
        <w:t>апреля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14A22EEA" w14:textId="77777777"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092BBE05" w14:textId="37F38781" w:rsidR="004F6AD8" w:rsidRDefault="004F6AD8" w:rsidP="004F6AD8">
      <w:pPr>
        <w:widowControl w:val="0"/>
        <w:tabs>
          <w:tab w:val="left" w:pos="1134"/>
        </w:tabs>
        <w:spacing w:after="120"/>
        <w:contextualSpacing/>
        <w:jc w:val="both"/>
        <w:rPr>
          <w:rFonts w:ascii="Times New Roman" w:hAnsi="Times New Roman" w:cs="Times New Roman"/>
          <w:sz w:val="24"/>
          <w:szCs w:val="24"/>
        </w:rPr>
      </w:pPr>
      <w:r>
        <w:rPr>
          <w:rFonts w:ascii="Times New Roman" w:hAnsi="Times New Roman" w:cs="Times New Roman"/>
          <w:sz w:val="24"/>
          <w:szCs w:val="24"/>
        </w:rPr>
        <w:t>7.2</w:t>
      </w:r>
      <w:r w:rsidR="00E35AFA">
        <w:rPr>
          <w:rFonts w:ascii="Times New Roman" w:hAnsi="Times New Roman" w:cs="Times New Roman"/>
          <w:sz w:val="24"/>
          <w:szCs w:val="24"/>
        </w:rPr>
        <w:t xml:space="preserve"> </w:t>
      </w: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r w:rsidRPr="00120E43">
        <w:rPr>
          <w:rFonts w:ascii="Times New Roman" w:hAnsi="Times New Roman" w:cs="Times New Roman"/>
          <w:b/>
          <w:sz w:val="24"/>
          <w:szCs w:val="24"/>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120E43">
        <w:rPr>
          <w:rFonts w:ascii="Times New Roman" w:hAnsi="Times New Roman" w:cs="Times New Roman"/>
          <w:sz w:val="24"/>
          <w:szCs w:val="24"/>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68A49D20"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04525E" w:rsidRPr="00B1746B">
        <w:rPr>
          <w:rFonts w:ascii="Times New Roman" w:hAnsi="Times New Roman"/>
          <w:sz w:val="22"/>
          <w:szCs w:val="22"/>
        </w:rPr>
        <w:t xml:space="preserve">поставку </w:t>
      </w:r>
      <w:r w:rsidR="00B1746B" w:rsidRPr="00B1746B">
        <w:rPr>
          <w:spacing w:val="-6"/>
          <w:sz w:val="22"/>
          <w:szCs w:val="22"/>
        </w:rPr>
        <w:t xml:space="preserve"> </w:t>
      </w:r>
      <w:r w:rsidR="00B1746B" w:rsidRPr="00B1746B">
        <w:rPr>
          <w:rFonts w:ascii="Times New Roman" w:hAnsi="Times New Roman"/>
          <w:spacing w:val="-6"/>
          <w:sz w:val="22"/>
          <w:szCs w:val="22"/>
        </w:rPr>
        <w:t xml:space="preserve">устройств контактных </w:t>
      </w:r>
      <w:r w:rsidR="0004525E" w:rsidRPr="006C3105">
        <w:rPr>
          <w:rFonts w:ascii="Times New Roman" w:hAnsi="Times New Roman"/>
          <w:sz w:val="24"/>
          <w:szCs w:val="24"/>
        </w:rPr>
        <w:t xml:space="preserve"> </w:t>
      </w:r>
      <w:r w:rsidR="0004525E">
        <w:rPr>
          <w:rFonts w:ascii="Times New Roman" w:hAnsi="Times New Roman"/>
          <w:sz w:val="24"/>
          <w:szCs w:val="24"/>
        </w:rPr>
        <w:t xml:space="preserve"> </w:t>
      </w:r>
      <w:r w:rsidR="00C0011B">
        <w:rPr>
          <w:rFonts w:ascii="Times New Roman" w:hAnsi="Times New Roman"/>
          <w:bCs/>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199E665"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 xml:space="preserve">Поставка </w:t>
      </w:r>
      <w:r w:rsidR="00A855AD" w:rsidRPr="00B1746B">
        <w:rPr>
          <w:rFonts w:ascii="Times New Roman" w:hAnsi="Times New Roman" w:cs="Times New Roman"/>
          <w:spacing w:val="-6"/>
          <w:sz w:val="22"/>
          <w:szCs w:val="22"/>
        </w:rPr>
        <w:t>устройств контактных</w:t>
      </w:r>
      <w:r w:rsidR="00A855AD">
        <w:rPr>
          <w:rFonts w:ascii="Times New Roman" w:hAnsi="Times New Roman"/>
          <w:bCs/>
          <w:sz w:val="24"/>
          <w:szCs w:val="24"/>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3"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33E03538" w:rsidR="00A76287" w:rsidRDefault="00A76287" w:rsidP="00A76287">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 xml:space="preserve">поставку </w:t>
      </w:r>
      <w:r w:rsidR="00A94A74" w:rsidRPr="00B1746B">
        <w:rPr>
          <w:rFonts w:ascii="Times New Roman" w:hAnsi="Times New Roman" w:cs="Times New Roman"/>
          <w:spacing w:val="-6"/>
          <w:sz w:val="22"/>
          <w:szCs w:val="22"/>
        </w:rPr>
        <w:t>устройств контактных</w:t>
      </w:r>
      <w:r>
        <w:rPr>
          <w:rFonts w:ascii="Times New Roman" w:hAnsi="Times New Roman"/>
          <w:sz w:val="22"/>
        </w:rPr>
        <w:t>,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p>
    <w:p w14:paraId="5241EED0"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условия оплаты.</w:t>
      </w: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460BC71C" w:rsidR="001F2869" w:rsidRPr="00C83A42" w:rsidRDefault="004F517A" w:rsidP="001F2869">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2</w:t>
            </w:r>
          </w:p>
        </w:tc>
      </w:tr>
      <w:tr w:rsidR="004F517A" w14:paraId="14486A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5FF1"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86C1" w14:textId="77777777" w:rsidR="004F517A" w:rsidRPr="00C83A42" w:rsidRDefault="004F517A" w:rsidP="00EB48BE">
            <w:pPr>
              <w:snapToGrid w:val="0"/>
              <w:jc w:val="center"/>
              <w:rPr>
                <w:rFonts w:ascii="Times New Roman" w:hAnsi="Times New Roman"/>
                <w:sz w:val="22"/>
              </w:rPr>
            </w:pPr>
            <w:r w:rsidRPr="00C83A42">
              <w:rPr>
                <w:rFonts w:ascii="Times New Roman" w:hAnsi="Times New Roman"/>
                <w:sz w:val="22"/>
              </w:rPr>
              <w:t>0,1</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77777777"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И = С1 + С2 +У ,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3CD315BA"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8F56846"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9AE07E4" w14:textId="77777777" w:rsidR="004F517A" w:rsidRDefault="004F517A" w:rsidP="004F517A">
      <w:pPr>
        <w:snapToGrid w:val="0"/>
        <w:jc w:val="both"/>
        <w:rPr>
          <w:rFonts w:ascii="Times New Roman" w:hAnsi="Times New Roman"/>
          <w:sz w:val="22"/>
        </w:rPr>
      </w:pP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1357A" w:rsidRDefault="00D1357A">
      <w:r>
        <w:separator/>
      </w:r>
    </w:p>
  </w:endnote>
  <w:endnote w:type="continuationSeparator" w:id="0">
    <w:p w14:paraId="559AFC51" w14:textId="77777777" w:rsidR="00D1357A" w:rsidRDefault="00D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170CFFC" w:rsidR="00D1357A" w:rsidRDefault="00D1357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1E3645">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1357A" w:rsidRDefault="00D1357A">
      <w:r>
        <w:separator/>
      </w:r>
    </w:p>
  </w:footnote>
  <w:footnote w:type="continuationSeparator" w:id="0">
    <w:p w14:paraId="6F954C43" w14:textId="77777777" w:rsidR="00D1357A" w:rsidRDefault="00D1357A">
      <w:r>
        <w:continuationSeparator/>
      </w:r>
    </w:p>
  </w:footnote>
  <w:footnote w:id="1">
    <w:p w14:paraId="3D77622B" w14:textId="77777777" w:rsidR="00D1357A" w:rsidRPr="00051381" w:rsidRDefault="00D1357A"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D1357A" w:rsidRPr="00051381" w:rsidRDefault="00D1357A" w:rsidP="00D1115B">
      <w:pPr>
        <w:pStyle w:val="afc"/>
        <w:rPr>
          <w:rFonts w:ascii="Times New Roman" w:hAnsi="Times New Roman" w:cs="Times New Roman"/>
          <w:b/>
          <w:sz w:val="18"/>
          <w:szCs w:val="18"/>
        </w:rPr>
      </w:pPr>
    </w:p>
  </w:footnote>
  <w:footnote w:id="3">
    <w:p w14:paraId="2CFC1C5E" w14:textId="77777777" w:rsidR="00D1357A" w:rsidRDefault="00D1357A"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D1357A" w:rsidRPr="00C84389" w:rsidRDefault="00D1357A" w:rsidP="00D1115B">
      <w:pPr>
        <w:pStyle w:val="afc"/>
        <w:jc w:val="both"/>
        <w:rPr>
          <w:rFonts w:ascii="Times New Roman" w:hAnsi="Times New Roman" w:cs="Times New Roman"/>
        </w:rPr>
      </w:pPr>
    </w:p>
    <w:p w14:paraId="5ED9134B" w14:textId="2ECD4BFC" w:rsidR="00D1357A" w:rsidRPr="00BD6A34" w:rsidRDefault="00D1357A"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D1357A" w:rsidRPr="00BD6A34" w:rsidRDefault="00D1357A" w:rsidP="00D1115B">
      <w:pPr>
        <w:pStyle w:val="afc"/>
        <w:rPr>
          <w:rFonts w:ascii="Times New Roman" w:hAnsi="Times New Roman" w:cs="Times New Roman"/>
          <w:b/>
          <w:i/>
          <w:u w:val="single"/>
        </w:rPr>
      </w:pPr>
    </w:p>
    <w:p w14:paraId="72D05433" w14:textId="77777777" w:rsidR="00D1357A" w:rsidRPr="00C34062" w:rsidRDefault="00D1357A"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022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20E43"/>
    <w:rsid w:val="001265B0"/>
    <w:rsid w:val="00126EEE"/>
    <w:rsid w:val="00142122"/>
    <w:rsid w:val="00143C10"/>
    <w:rsid w:val="00152586"/>
    <w:rsid w:val="0015622D"/>
    <w:rsid w:val="001569E0"/>
    <w:rsid w:val="001612FC"/>
    <w:rsid w:val="0018354B"/>
    <w:rsid w:val="00183674"/>
    <w:rsid w:val="001A52E8"/>
    <w:rsid w:val="001A7A0F"/>
    <w:rsid w:val="001B3881"/>
    <w:rsid w:val="001B7598"/>
    <w:rsid w:val="001C3B63"/>
    <w:rsid w:val="001E0B20"/>
    <w:rsid w:val="001E3645"/>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82601"/>
    <w:rsid w:val="004842F7"/>
    <w:rsid w:val="004969B3"/>
    <w:rsid w:val="00496F86"/>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81C8A"/>
    <w:rsid w:val="00793BEC"/>
    <w:rsid w:val="007A0BCF"/>
    <w:rsid w:val="007C0E01"/>
    <w:rsid w:val="007D027E"/>
    <w:rsid w:val="007D3BF6"/>
    <w:rsid w:val="007D404E"/>
    <w:rsid w:val="007D72C9"/>
    <w:rsid w:val="007D79E5"/>
    <w:rsid w:val="007E630F"/>
    <w:rsid w:val="007E714E"/>
    <w:rsid w:val="007F0714"/>
    <w:rsid w:val="007F5A61"/>
    <w:rsid w:val="007F5B34"/>
    <w:rsid w:val="008004BC"/>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110CB"/>
    <w:rsid w:val="00A2135C"/>
    <w:rsid w:val="00A2136D"/>
    <w:rsid w:val="00A24F0C"/>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6658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A157-6790-4E76-BAB8-463AF8DD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19</Pages>
  <Words>6090</Words>
  <Characters>34717</Characters>
  <Application>Microsoft Office Word</Application>
  <DocSecurity>0</DocSecurity>
  <Lines>289</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251</cp:revision>
  <cp:lastPrinted>2023-09-12T08:58:00Z</cp:lastPrinted>
  <dcterms:created xsi:type="dcterms:W3CDTF">2021-10-12T07:51:00Z</dcterms:created>
  <dcterms:modified xsi:type="dcterms:W3CDTF">2024-04-16T13:37:00Z</dcterms:modified>
</cp:coreProperties>
</file>