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89" w:rsidRDefault="00F86D89" w:rsidP="008D38C9">
      <w:pPr>
        <w:pStyle w:val="a3"/>
        <w:spacing w:before="120"/>
        <w:rPr>
          <w:b/>
          <w:sz w:val="24"/>
        </w:rPr>
      </w:pPr>
      <w:r>
        <w:rPr>
          <w:b/>
          <w:sz w:val="24"/>
        </w:rPr>
        <w:t xml:space="preserve">                                                                                                                  Приложение №2 к ТЗ</w:t>
      </w:r>
    </w:p>
    <w:p w:rsidR="00F86D89" w:rsidRDefault="00F86D89" w:rsidP="008D38C9">
      <w:pPr>
        <w:pStyle w:val="a3"/>
        <w:spacing w:before="120"/>
        <w:rPr>
          <w:b/>
          <w:sz w:val="24"/>
        </w:rPr>
      </w:pPr>
    </w:p>
    <w:p w:rsidR="00A873B6" w:rsidRPr="008D38C9" w:rsidRDefault="00C57A2F" w:rsidP="008D38C9">
      <w:pPr>
        <w:pStyle w:val="a3"/>
        <w:spacing w:before="120"/>
        <w:rPr>
          <w:b/>
          <w:sz w:val="24"/>
        </w:rPr>
      </w:pPr>
      <w:bookmarkStart w:id="0" w:name="_GoBack"/>
      <w:bookmarkEnd w:id="0"/>
      <w:r w:rsidRPr="008D38C9">
        <w:rPr>
          <w:b/>
          <w:sz w:val="24"/>
        </w:rPr>
        <w:t>СОГЛАШЕНИЕ О КОНФИДЕНЦИАЛЬНОСТИ</w:t>
      </w:r>
    </w:p>
    <w:p w:rsidR="00D6347A" w:rsidRDefault="00C57A2F" w:rsidP="00D6347A">
      <w:pPr>
        <w:tabs>
          <w:tab w:val="right" w:pos="9355"/>
        </w:tabs>
        <w:rPr>
          <w:b/>
        </w:rPr>
      </w:pPr>
      <w:r w:rsidRPr="008D38C9">
        <w:rPr>
          <w:b/>
        </w:rPr>
        <w:t xml:space="preserve">г. </w:t>
      </w:r>
      <w:r w:rsidR="008D38C9" w:rsidRPr="008D38C9">
        <w:rPr>
          <w:b/>
        </w:rPr>
        <w:t>Воронеж</w:t>
      </w:r>
      <w:r w:rsidRPr="008D38C9">
        <w:rPr>
          <w:b/>
        </w:rPr>
        <w:tab/>
        <w:t>«</w:t>
      </w:r>
      <w:r w:rsidR="009B3C7A" w:rsidRPr="008D38C9">
        <w:rPr>
          <w:b/>
        </w:rPr>
        <w:t>__</w:t>
      </w:r>
      <w:r w:rsidRPr="008D38C9">
        <w:rPr>
          <w:b/>
        </w:rPr>
        <w:t>»</w:t>
      </w:r>
      <w:r w:rsidR="006E2C30" w:rsidRPr="008D38C9">
        <w:rPr>
          <w:b/>
        </w:rPr>
        <w:t xml:space="preserve"> </w:t>
      </w:r>
      <w:r w:rsidR="00D6347A">
        <w:rPr>
          <w:b/>
        </w:rPr>
        <w:t xml:space="preserve">                     </w:t>
      </w:r>
      <w:r w:rsidR="006A2304" w:rsidRPr="008D38C9">
        <w:rPr>
          <w:b/>
        </w:rPr>
        <w:t xml:space="preserve"> </w:t>
      </w:r>
      <w:r w:rsidRPr="008D38C9">
        <w:rPr>
          <w:b/>
        </w:rPr>
        <w:t>20</w:t>
      </w:r>
      <w:r w:rsidR="006A2304" w:rsidRPr="008D38C9">
        <w:rPr>
          <w:b/>
        </w:rPr>
        <w:t>2</w:t>
      </w:r>
      <w:r w:rsidR="00D6347A">
        <w:rPr>
          <w:b/>
        </w:rPr>
        <w:t>5 г.</w:t>
      </w:r>
    </w:p>
    <w:p w:rsidR="00A873B6" w:rsidRPr="008D38C9" w:rsidRDefault="00A873B6">
      <w:pPr>
        <w:tabs>
          <w:tab w:val="right" w:pos="9355"/>
        </w:tabs>
        <w:spacing w:before="120"/>
        <w:jc w:val="both"/>
        <w:rPr>
          <w:b/>
        </w:rPr>
      </w:pPr>
    </w:p>
    <w:p w:rsidR="00A873B6" w:rsidRPr="008D38C9" w:rsidRDefault="004A607B" w:rsidP="008D38C9">
      <w:pPr>
        <w:spacing w:after="120"/>
        <w:ind w:firstLine="708"/>
        <w:jc w:val="both"/>
        <w:rPr>
          <w:b/>
        </w:rPr>
      </w:pPr>
      <w:r w:rsidRPr="008D38C9">
        <w:rPr>
          <w:b/>
        </w:rPr>
        <w:t>Акционерное общество «Научно-исследовательский институт электронной техники»</w:t>
      </w:r>
      <w:r w:rsidRPr="008D38C9">
        <w:t xml:space="preserve"> </w:t>
      </w:r>
      <w:r w:rsidR="00C57A2F" w:rsidRPr="008D38C9">
        <w:t>(далее именуемое «Раскрывающая сторона»), в лице</w:t>
      </w:r>
      <w:r w:rsidR="006E2C30" w:rsidRPr="008D38C9">
        <w:t xml:space="preserve"> </w:t>
      </w:r>
      <w:r w:rsidRPr="008D38C9">
        <w:t>генерального директора Куцько Павла Павловича</w:t>
      </w:r>
      <w:r w:rsidR="00C57A2F" w:rsidRPr="008D38C9">
        <w:t>, действующего на основани</w:t>
      </w:r>
      <w:r w:rsidR="006A2304" w:rsidRPr="008D38C9">
        <w:t>и</w:t>
      </w:r>
      <w:r w:rsidR="006E2C30" w:rsidRPr="008D38C9">
        <w:t xml:space="preserve"> </w:t>
      </w:r>
      <w:r w:rsidRPr="008D38C9">
        <w:t>Устава</w:t>
      </w:r>
      <w:r w:rsidR="00C57A2F" w:rsidRPr="008D38C9">
        <w:t>, с одной стороны, и</w:t>
      </w:r>
    </w:p>
    <w:p w:rsidR="00A873B6" w:rsidRPr="008D38C9" w:rsidRDefault="009B3C7A">
      <w:pPr>
        <w:spacing w:after="120"/>
        <w:jc w:val="both"/>
      </w:pPr>
      <w:r w:rsidRPr="008D38C9">
        <w:rPr>
          <w:b/>
        </w:rPr>
        <w:t>___________________</w:t>
      </w:r>
      <w:r w:rsidR="006E2C30" w:rsidRPr="008D38C9">
        <w:rPr>
          <w:b/>
        </w:rPr>
        <w:t xml:space="preserve"> </w:t>
      </w:r>
      <w:r w:rsidR="00C57A2F" w:rsidRPr="008D38C9">
        <w:t xml:space="preserve">(далее именуемое «Принимающая сторона»), в лице </w:t>
      </w:r>
      <w:r w:rsidRPr="008D38C9">
        <w:t>_______________</w:t>
      </w:r>
      <w:r w:rsidR="00C57A2F" w:rsidRPr="008D38C9">
        <w:t xml:space="preserve">, действующего на основании </w:t>
      </w:r>
      <w:r w:rsidRPr="008D38C9">
        <w:t>_______________</w:t>
      </w:r>
      <w:r w:rsidR="00C57A2F" w:rsidRPr="008D38C9">
        <w:t>, с другой стороны, в дальнейшем раздельно именуемые «Сторона», а совместно – «Стороны»</w:t>
      </w:r>
    </w:p>
    <w:p w:rsidR="00A873B6" w:rsidRPr="008D38C9" w:rsidRDefault="00C57A2F">
      <w:pPr>
        <w:spacing w:before="120"/>
        <w:jc w:val="both"/>
        <w:rPr>
          <w:b/>
        </w:rPr>
      </w:pPr>
      <w:r w:rsidRPr="008D38C9">
        <w:rPr>
          <w:b/>
        </w:rPr>
        <w:t>Заключили настоящее Соглашение о нижеследующем:</w:t>
      </w:r>
    </w:p>
    <w:p w:rsidR="00A873B6" w:rsidRPr="008D38C9" w:rsidRDefault="00C57A2F">
      <w:pPr>
        <w:pStyle w:val="a4"/>
        <w:numPr>
          <w:ilvl w:val="0"/>
          <w:numId w:val="1"/>
        </w:numPr>
        <w:spacing w:before="120" w:after="0"/>
        <w:rPr>
          <w:sz w:val="24"/>
        </w:rPr>
      </w:pPr>
      <w:r w:rsidRPr="008D38C9">
        <w:rPr>
          <w:sz w:val="24"/>
        </w:rPr>
        <w:t xml:space="preserve">Применительно к настоящему Соглашению термин «Конфиденциальная информация» означает информацию в письменной и электронной форме, которая передается Раскрывающей стороной Принимающей стороне с грифом «Конфиденциально» и/или «Коммерческая тайна». Конфиденциальная информация для целей настоящего Соглашения включает техническую, технологическую, коммерческую (финансовую), организационную или иную используемую в коммерческой деятельности Раскрывающей стороны (либо названных ею третьих лиц) информацию, которая обладает действительной или потенциальной коммерческой ценностью в силу ее неизвестности неограниченному кругу третьих лиц и к которой нет свободного доступа на законном основании. К категории Конфиденциальной информации также относятся любые документы и их копии, изготовленные с использованием или на основе оригинальных документов, содержащих Конфиденциальную информацию. </w:t>
      </w:r>
    </w:p>
    <w:p w:rsidR="009B3C7A" w:rsidRPr="008D38C9" w:rsidRDefault="009B3C7A" w:rsidP="009B3C7A">
      <w:pPr>
        <w:pStyle w:val="ab"/>
        <w:numPr>
          <w:ilvl w:val="0"/>
          <w:numId w:val="1"/>
        </w:numPr>
        <w:jc w:val="both"/>
      </w:pPr>
      <w:r w:rsidRPr="008D38C9">
        <w:t xml:space="preserve">Настоящее Соглашение регулирует отношения между Сторонами в части передачи, использования и хранения информации, составляющей коммерческую тайну, и (или) иной конфиденциальной информации (далее по тексту - конфиденциальная информация), полученная в ходе </w:t>
      </w:r>
      <w:r w:rsidR="008D38C9" w:rsidRPr="00B121BA">
        <w:t>ознакомления и (или) передачи исходно</w:t>
      </w:r>
      <w:r w:rsidR="00B121BA" w:rsidRPr="00B121BA">
        <w:t>й и (или) иной</w:t>
      </w:r>
      <w:r w:rsidR="008D38C9" w:rsidRPr="00B121BA">
        <w:t xml:space="preserve"> документации</w:t>
      </w:r>
      <w:r w:rsidRPr="00B121BA">
        <w:t>,</w:t>
      </w:r>
      <w:r w:rsidRPr="008D38C9">
        <w:t xml:space="preserve"> и обязывает Стороны не допускать ее разглашения третьим лицам и не использовать во вред друг другу.</w:t>
      </w:r>
    </w:p>
    <w:p w:rsidR="00A873B6" w:rsidRPr="008D38C9" w:rsidRDefault="00C57A2F">
      <w:pPr>
        <w:pStyle w:val="a7"/>
        <w:numPr>
          <w:ilvl w:val="0"/>
          <w:numId w:val="1"/>
        </w:numPr>
        <w:spacing w:before="120" w:after="0"/>
        <w:rPr>
          <w:sz w:val="24"/>
        </w:rPr>
      </w:pPr>
      <w:r w:rsidRPr="008D38C9">
        <w:rPr>
          <w:sz w:val="24"/>
        </w:rPr>
        <w:t>Стороны договариваются признавать конфиденциальной любую информацию, соответствующую признакам, указанным выше в пункте 1, вне зависимости от степени ее защиты в соответствии с законами Российской Федерации, а также действительной или полагаемой ее коммерческой или служебной важности. За исключением условий, содержащихся в Статье 7 ниже, Принимающая сторона ни при каких обстоятельствах не будет оспаривать ее принадлежность к категории Конфиденциальной информации и будет использовать такую информацию и соответствующую документацию, содержащую такую информацию в соответствии с правилами, устанавливаемыми настоящим Соглашением.</w:t>
      </w:r>
    </w:p>
    <w:p w:rsidR="00A873B6" w:rsidRPr="008D38C9" w:rsidRDefault="00C57A2F">
      <w:pPr>
        <w:numPr>
          <w:ilvl w:val="0"/>
          <w:numId w:val="1"/>
        </w:numPr>
        <w:spacing w:before="120"/>
        <w:jc w:val="both"/>
      </w:pPr>
      <w:r w:rsidRPr="008D38C9">
        <w:t xml:space="preserve">Принимающая сторона будет использовать Конфиденциальную информацию исключительно в целях наиболее полного и качественного </w:t>
      </w:r>
      <w:r w:rsidR="008D38C9" w:rsidRPr="008D38C9">
        <w:t>выполнения</w:t>
      </w:r>
      <w:r w:rsidRPr="008D38C9">
        <w:t xml:space="preserve"> Раскрывающей стороне </w:t>
      </w:r>
      <w:r w:rsidR="008D38C9" w:rsidRPr="008D38C9">
        <w:t>работ</w:t>
      </w:r>
      <w:r w:rsidRPr="008D38C9">
        <w:t xml:space="preserve"> и примет все необходимые меры к ее защите от несанкционированного доступа, распространения и использования, которые, как минимум, будут эквивалентны мерам, применяемым Раскрывающей стороной для защиты Конфиденциальной информации, в том числе: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Ограничит доступ к этой информации минимально необходимым кругом лиц из числа своих сотрудников, которым такая информация действительно необходима для выполнения работ / оказания услуг Раскрывающей стороне;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lastRenderedPageBreak/>
        <w:t>Обеспечит принятие лицами, допущенными к работе с Конфиденциальной информацией, обязательств по ее неразглашению, аналогичных обязательствам, предусматриваемых настоящим Соглашением. Принимающая сторона будет нести ответственность за действия лиц, допущенных к работе с Конфиденциальной информацией;</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Исключит передачу такой информации, полностью или частично, третьим лицам, включая государственные органы, в том числе ее публичное раскрытие в органах массовой информации или иным образом без предварительного письменного согласия Раскрывающей стороны, за исключение случаев, предусмотренных законодательством Российской Федерации;</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Безусловно выполнит любые дополнительные требования по использованию и обращению Конфиденциальной информации, которые Раскрывающая сторона приложит в письменной форме в момент передачи (раскрытия) информации;</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Исключит самостоятельное использование получаемой Конфиденциальной информации для целей иных, нежели оказание услуг Раскрывающей стороне;</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Обеспечит незамедлительный возврат всех документов, содержащих Конфиденциальную информацию, а также всех копий таких документов Раскрывающей стороне в случае ее требования;</w:t>
      </w:r>
    </w:p>
    <w:p w:rsidR="00A873B6" w:rsidRPr="008D38C9" w:rsidRDefault="00C57A2F">
      <w:pPr>
        <w:pStyle w:val="21"/>
        <w:numPr>
          <w:ilvl w:val="1"/>
          <w:numId w:val="4"/>
        </w:numPr>
        <w:tabs>
          <w:tab w:val="left" w:pos="900"/>
        </w:tabs>
        <w:spacing w:before="120" w:after="0"/>
        <w:ind w:left="900" w:hanging="540"/>
        <w:rPr>
          <w:sz w:val="24"/>
        </w:rPr>
      </w:pPr>
      <w:r w:rsidRPr="008D38C9">
        <w:rPr>
          <w:sz w:val="24"/>
        </w:rPr>
        <w:t>Обеспечит сохранение Конфиденциальности информации в течение 5 (Пяти) лет после прекращения настоящего Соглашения по любой причине.</w:t>
      </w:r>
    </w:p>
    <w:p w:rsidR="00A873B6" w:rsidRPr="008D38C9" w:rsidRDefault="00C57A2F">
      <w:pPr>
        <w:numPr>
          <w:ilvl w:val="0"/>
          <w:numId w:val="1"/>
        </w:numPr>
        <w:spacing w:before="120"/>
        <w:jc w:val="both"/>
      </w:pPr>
      <w:r w:rsidRPr="008D38C9">
        <w:t>Для целей настоящего Соглашения информация не будет считаться конфиденциальной, и Принимающая сторона не будет нести обязательств в соответствии с настоящим Соглашением в том случае, если такая информация:</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Относилась в момент раскрытия к разряду общедоступной или стала таковой впоследствии без нарушения условий настоящего Соглашения;</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Была известна Принимающей стороне до момента раскрытия из источников иных, нежели Раскрывающая сторона;</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Была сообщена Раскрывающей стороной третьему лицу без ограничений на ее дальнейшее раскрытие или использование;</w:t>
      </w:r>
    </w:p>
    <w:p w:rsidR="00A873B6" w:rsidRPr="008D38C9" w:rsidRDefault="00C57A2F">
      <w:pPr>
        <w:pStyle w:val="30"/>
        <w:numPr>
          <w:ilvl w:val="1"/>
          <w:numId w:val="5"/>
        </w:numPr>
        <w:tabs>
          <w:tab w:val="left" w:pos="900"/>
        </w:tabs>
        <w:spacing w:before="120" w:after="0"/>
        <w:ind w:left="900" w:hanging="540"/>
        <w:rPr>
          <w:sz w:val="24"/>
        </w:rPr>
      </w:pPr>
      <w:r w:rsidRPr="008D38C9">
        <w:rPr>
          <w:sz w:val="24"/>
        </w:rPr>
        <w:t>Получена принимающей Стороной самостоятельно или передана ей третьими лицами без нарушения такими третьими лицами имеющихся у них обязательств по обеспечению конфиденциальности информации.</w:t>
      </w:r>
    </w:p>
    <w:p w:rsidR="00A873B6" w:rsidRPr="008D38C9" w:rsidRDefault="00C57A2F">
      <w:pPr>
        <w:numPr>
          <w:ilvl w:val="0"/>
          <w:numId w:val="1"/>
        </w:numPr>
        <w:spacing w:before="120"/>
        <w:jc w:val="both"/>
      </w:pPr>
      <w:r w:rsidRPr="008D38C9">
        <w:t>Сторона, утверждающая, что имеет место одно или несколько условий, указанных выше в пунктах 6.1 – 6.4 для освобождения ее от выполнения условий настоящего Соглашения несет бремя документального доказательства того, что информация, о которой идет речь, подпадает под положения одного или нескольких указанных пунктов. До представления соответствующих доказательств такая Сторона не имеет права ссылаться на вышеуказанные условия, как на основание для освобождения ее от обязательств по выполнению условий настоящего Соглашения.</w:t>
      </w:r>
    </w:p>
    <w:p w:rsidR="00A873B6" w:rsidRPr="008D38C9" w:rsidRDefault="00C57A2F">
      <w:pPr>
        <w:numPr>
          <w:ilvl w:val="0"/>
          <w:numId w:val="1"/>
        </w:numPr>
        <w:spacing w:before="120"/>
        <w:jc w:val="both"/>
      </w:pPr>
      <w:r w:rsidRPr="008D38C9">
        <w:t>Настоящее Соглашение вступает в силу с момента подписания Сторонами, и его действие продолжается в течение 5 (пяти) лет с момента подписания настоящего Соглашения.</w:t>
      </w:r>
    </w:p>
    <w:p w:rsidR="00A873B6" w:rsidRPr="008D38C9" w:rsidRDefault="00C57A2F">
      <w:pPr>
        <w:numPr>
          <w:ilvl w:val="0"/>
          <w:numId w:val="1"/>
        </w:numPr>
        <w:spacing w:before="120"/>
        <w:jc w:val="both"/>
      </w:pPr>
      <w:r w:rsidRPr="008D38C9">
        <w:t>Принимающая Сторона несет ответственность за раскрытие (включая неумышленное) конфиденциальной информации, полученной от раскрывающей Стороны, а также в случае непринятия мер, которые принимающая Сторона могла или должна была суметь предпринять, чтобы предотвратить или уменьшить отрицательные последствия такого раскрытия информации в максимально короткий период времени.</w:t>
      </w:r>
    </w:p>
    <w:p w:rsidR="00A873B6" w:rsidRPr="008D38C9" w:rsidRDefault="00C57A2F">
      <w:pPr>
        <w:numPr>
          <w:ilvl w:val="0"/>
          <w:numId w:val="1"/>
        </w:numPr>
        <w:spacing w:before="120"/>
        <w:jc w:val="both"/>
      </w:pPr>
      <w:r w:rsidRPr="008D38C9">
        <w:lastRenderedPageBreak/>
        <w:t>В случае, если такое раскрытие конфиденциальной информации произошло, Сторона, которая раскрыла конфиденциальную информацию, должна предпринять все приемлемые действия,  для того, чтобы устранить последствия такого раскрытия.</w:t>
      </w:r>
    </w:p>
    <w:p w:rsidR="00A873B6" w:rsidRPr="008D38C9" w:rsidRDefault="00A873B6">
      <w:pPr>
        <w:spacing w:before="120"/>
        <w:ind w:left="360"/>
        <w:jc w:val="both"/>
      </w:pPr>
    </w:p>
    <w:p w:rsidR="00A873B6" w:rsidRPr="008D38C9" w:rsidRDefault="00C57A2F">
      <w:pPr>
        <w:numPr>
          <w:ilvl w:val="0"/>
          <w:numId w:val="1"/>
        </w:numPr>
        <w:jc w:val="both"/>
      </w:pPr>
      <w:r w:rsidRPr="008D38C9">
        <w:t>В случае разглашения Конфиденциальной Информации, Принимающая сторона обязана возместить Раскрывающей стороне стоимость документально подтвержденных убытков. Возмещение убытков производится в судебном порядке.</w:t>
      </w:r>
    </w:p>
    <w:p w:rsidR="007C023F" w:rsidRPr="008D38C9" w:rsidRDefault="00C57A2F" w:rsidP="008D38C9">
      <w:pPr>
        <w:spacing w:before="120"/>
        <w:ind w:firstLine="360"/>
        <w:jc w:val="both"/>
      </w:pPr>
      <w:r w:rsidRPr="008D38C9">
        <w:t>Стороны подписали настоящее Соглашение в двух подлинных экземплярах, по одному для каждой Стороны, имеющих равную юридическую силу, в лице своих уполномоченных представителей.</w:t>
      </w:r>
    </w:p>
    <w:p w:rsidR="007C023F" w:rsidRPr="008D38C9" w:rsidRDefault="007C023F" w:rsidP="007C023F">
      <w:pPr>
        <w:pStyle w:val="1"/>
        <w:tabs>
          <w:tab w:val="left" w:pos="3240"/>
        </w:tabs>
        <w:spacing w:before="360"/>
        <w:ind w:left="431"/>
        <w:jc w:val="center"/>
        <w:rPr>
          <w:sz w:val="24"/>
        </w:rPr>
      </w:pPr>
      <w:r w:rsidRPr="008D38C9">
        <w:rPr>
          <w:sz w:val="24"/>
        </w:rPr>
        <w:t>Реквизиты сторон</w:t>
      </w:r>
    </w:p>
    <w:tbl>
      <w:tblPr>
        <w:tblW w:w="0" w:type="auto"/>
        <w:tblCellMar>
          <w:top w:w="57" w:type="dxa"/>
          <w:bottom w:w="57" w:type="dxa"/>
        </w:tblCellMar>
        <w:tblLook w:val="01E0" w:firstRow="1" w:lastRow="1" w:firstColumn="1" w:lastColumn="1" w:noHBand="0" w:noVBand="0"/>
      </w:tblPr>
      <w:tblGrid>
        <w:gridCol w:w="4764"/>
        <w:gridCol w:w="4807"/>
      </w:tblGrid>
      <w:tr w:rsidR="007C023F" w:rsidRPr="008D38C9" w:rsidTr="00B9531E">
        <w:trPr>
          <w:trHeight w:val="4003"/>
        </w:trPr>
        <w:tc>
          <w:tcPr>
            <w:tcW w:w="4764" w:type="dxa"/>
          </w:tcPr>
          <w:p w:rsidR="00B9531E" w:rsidRPr="008D38C9" w:rsidRDefault="00B9531E" w:rsidP="007F37F9">
            <w:pPr>
              <w:pStyle w:val="20"/>
              <w:rPr>
                <w:sz w:val="24"/>
              </w:rPr>
            </w:pPr>
          </w:p>
          <w:p w:rsidR="007C023F" w:rsidRPr="008D38C9" w:rsidRDefault="007C023F" w:rsidP="007F37F9">
            <w:pPr>
              <w:pStyle w:val="20"/>
              <w:rPr>
                <w:sz w:val="24"/>
              </w:rPr>
            </w:pPr>
            <w:r w:rsidRPr="008D38C9">
              <w:rPr>
                <w:sz w:val="24"/>
              </w:rPr>
              <w:t>Раскрывающая сторона:</w:t>
            </w:r>
          </w:p>
          <w:p w:rsidR="007001CB" w:rsidRPr="008D38C9" w:rsidRDefault="007001CB" w:rsidP="007001CB">
            <w:pPr>
              <w:suppressAutoHyphens/>
              <w:rPr>
                <w:color w:val="00000A"/>
                <w:lang w:eastAsia="zh-CN"/>
              </w:rPr>
            </w:pPr>
            <w:r w:rsidRPr="008D38C9">
              <w:rPr>
                <w:color w:val="00000A"/>
                <w:lang w:eastAsia="ar-SA"/>
              </w:rPr>
              <w:t>АО «НИИЭТ»</w:t>
            </w:r>
          </w:p>
          <w:p w:rsidR="007001CB" w:rsidRPr="008D38C9" w:rsidRDefault="007001CB" w:rsidP="007001CB">
            <w:pPr>
              <w:suppressAutoHyphens/>
              <w:rPr>
                <w:color w:val="00000A"/>
                <w:lang w:eastAsia="zh-CN"/>
              </w:rPr>
            </w:pPr>
            <w:r w:rsidRPr="008D38C9">
              <w:rPr>
                <w:color w:val="00000A"/>
                <w:lang w:eastAsia="zh-CN"/>
              </w:rPr>
              <w:t>Российская Федерация, город Воронеж, ул. Старых Большевиков, д. 5.</w:t>
            </w:r>
          </w:p>
          <w:p w:rsidR="007001CB" w:rsidRPr="008D38C9" w:rsidRDefault="007001CB" w:rsidP="007001CB">
            <w:pPr>
              <w:suppressAutoHyphens/>
              <w:rPr>
                <w:color w:val="00000A"/>
                <w:lang w:eastAsia="zh-CN"/>
              </w:rPr>
            </w:pPr>
            <w:r w:rsidRPr="008D38C9">
              <w:rPr>
                <w:color w:val="00000A"/>
                <w:lang w:eastAsia="zh-CN"/>
              </w:rPr>
              <w:t>Телефон:(473)226-20-35, 226-98-95</w:t>
            </w:r>
          </w:p>
          <w:p w:rsidR="007001CB" w:rsidRPr="008D38C9" w:rsidRDefault="007001CB" w:rsidP="007001CB">
            <w:pPr>
              <w:autoSpaceDE w:val="0"/>
              <w:autoSpaceDN w:val="0"/>
              <w:adjustRightInd w:val="0"/>
              <w:rPr>
                <w:bCs/>
                <w:iCs/>
              </w:rPr>
            </w:pPr>
            <w:r w:rsidRPr="008D38C9">
              <w:rPr>
                <w:bCs/>
                <w:iCs/>
              </w:rPr>
              <w:t>Банковские реквизиты:</w:t>
            </w:r>
          </w:p>
          <w:p w:rsidR="007001CB" w:rsidRPr="008D38C9" w:rsidRDefault="007001CB" w:rsidP="007001CB">
            <w:r w:rsidRPr="008D38C9">
              <w:rPr>
                <w:color w:val="00000A"/>
                <w:lang w:eastAsia="zh-CN"/>
              </w:rPr>
              <w:t xml:space="preserve">Р/с </w:t>
            </w:r>
            <w:r w:rsidRPr="008D38C9">
              <w:t>40702810013000065105</w:t>
            </w:r>
          </w:p>
          <w:p w:rsidR="007001CB" w:rsidRPr="008D38C9" w:rsidRDefault="007001CB" w:rsidP="007001CB">
            <w:pPr>
              <w:suppressAutoHyphens/>
            </w:pPr>
            <w:r w:rsidRPr="008D38C9">
              <w:rPr>
                <w:color w:val="000000"/>
                <w:lang w:eastAsia="zh-CN"/>
              </w:rPr>
              <w:t xml:space="preserve">К/с </w:t>
            </w:r>
            <w:r w:rsidRPr="008D38C9">
              <w:t>30101810600000000681</w:t>
            </w:r>
          </w:p>
          <w:p w:rsidR="007001CB" w:rsidRPr="008D38C9" w:rsidRDefault="007001CB" w:rsidP="007001CB">
            <w:pPr>
              <w:suppressAutoHyphens/>
            </w:pPr>
            <w:r w:rsidRPr="008D38C9">
              <w:t>Центрально-Черноземный банк ПАО Сбербанк г. Воронеж</w:t>
            </w:r>
          </w:p>
          <w:p w:rsidR="007001CB" w:rsidRPr="008D38C9" w:rsidRDefault="007001CB" w:rsidP="007001CB">
            <w:pPr>
              <w:suppressAutoHyphens/>
            </w:pPr>
            <w:r w:rsidRPr="008D38C9">
              <w:rPr>
                <w:color w:val="000000"/>
                <w:lang w:eastAsia="zh-CN"/>
              </w:rPr>
              <w:t xml:space="preserve">БИК </w:t>
            </w:r>
            <w:r w:rsidRPr="008D38C9">
              <w:t>042007681</w:t>
            </w:r>
          </w:p>
          <w:p w:rsidR="007C023F" w:rsidRPr="008D38C9" w:rsidRDefault="007001CB" w:rsidP="007001CB">
            <w:r w:rsidRPr="008D38C9">
              <w:rPr>
                <w:color w:val="00000A"/>
                <w:lang w:eastAsia="zh-CN"/>
              </w:rPr>
              <w:t>ИНН 3661057900, КПП 366101001</w:t>
            </w:r>
          </w:p>
        </w:tc>
        <w:tc>
          <w:tcPr>
            <w:tcW w:w="4807" w:type="dxa"/>
          </w:tcPr>
          <w:p w:rsidR="00B9531E" w:rsidRPr="008D38C9" w:rsidRDefault="00B9531E" w:rsidP="007F37F9">
            <w:pPr>
              <w:pStyle w:val="20"/>
              <w:rPr>
                <w:sz w:val="24"/>
              </w:rPr>
            </w:pPr>
          </w:p>
          <w:p w:rsidR="007C023F" w:rsidRPr="008D38C9" w:rsidRDefault="007C023F" w:rsidP="007F37F9">
            <w:pPr>
              <w:pStyle w:val="20"/>
              <w:rPr>
                <w:b w:val="0"/>
                <w:bCs/>
                <w:iCs/>
                <w:sz w:val="24"/>
              </w:rPr>
            </w:pPr>
            <w:r w:rsidRPr="008D38C9">
              <w:rPr>
                <w:sz w:val="24"/>
              </w:rPr>
              <w:t>Принимающая сторона:</w:t>
            </w:r>
          </w:p>
          <w:p w:rsidR="00AA0DCF" w:rsidRPr="008D38C9" w:rsidRDefault="00AA0DCF" w:rsidP="00A97D4F"/>
        </w:tc>
      </w:tr>
    </w:tbl>
    <w:p w:rsidR="007C023F" w:rsidRPr="008D38C9" w:rsidRDefault="007C023F" w:rsidP="007C023F">
      <w:pPr>
        <w:keepNext/>
        <w:suppressAutoHyphens/>
        <w:ind w:firstLine="709"/>
        <w:jc w:val="center"/>
        <w:rPr>
          <w:b/>
        </w:rPr>
      </w:pPr>
      <w:r w:rsidRPr="008D38C9">
        <w:rPr>
          <w:b/>
        </w:rPr>
        <w:t>ПОДПИСИ СТОРОН</w:t>
      </w:r>
    </w:p>
    <w:p w:rsidR="007C023F" w:rsidRPr="008D38C9" w:rsidRDefault="007C023F" w:rsidP="007C023F">
      <w:pPr>
        <w:keepNext/>
        <w:suppressAutoHyphens/>
        <w:ind w:firstLine="709"/>
        <w:jc w:val="center"/>
        <w:rPr>
          <w:b/>
        </w:rPr>
      </w:pPr>
    </w:p>
    <w:tbl>
      <w:tblPr>
        <w:tblW w:w="4885" w:type="pct"/>
        <w:tblLayout w:type="fixed"/>
        <w:tblLook w:val="01E0" w:firstRow="1" w:lastRow="1" w:firstColumn="1" w:lastColumn="1" w:noHBand="0" w:noVBand="0"/>
      </w:tblPr>
      <w:tblGrid>
        <w:gridCol w:w="2629"/>
        <w:gridCol w:w="1949"/>
        <w:gridCol w:w="404"/>
        <w:gridCol w:w="2738"/>
        <w:gridCol w:w="1631"/>
      </w:tblGrid>
      <w:tr w:rsidR="007C023F" w:rsidRPr="008D38C9" w:rsidTr="007F37F9">
        <w:tc>
          <w:tcPr>
            <w:tcW w:w="2448" w:type="pct"/>
            <w:gridSpan w:val="2"/>
          </w:tcPr>
          <w:p w:rsidR="007C023F" w:rsidRPr="008D38C9" w:rsidRDefault="007C023F" w:rsidP="007F37F9">
            <w:pPr>
              <w:rPr>
                <w:b/>
                <w:lang w:val="en-US"/>
              </w:rPr>
            </w:pPr>
          </w:p>
        </w:tc>
        <w:tc>
          <w:tcPr>
            <w:tcW w:w="216" w:type="pct"/>
          </w:tcPr>
          <w:p w:rsidR="007C023F" w:rsidRPr="008D38C9" w:rsidRDefault="007C023F" w:rsidP="007F37F9">
            <w:pPr>
              <w:jc w:val="center"/>
              <w:rPr>
                <w:b/>
                <w:u w:val="single"/>
              </w:rPr>
            </w:pPr>
          </w:p>
        </w:tc>
        <w:tc>
          <w:tcPr>
            <w:tcW w:w="2336" w:type="pct"/>
            <w:gridSpan w:val="2"/>
          </w:tcPr>
          <w:p w:rsidR="007C023F" w:rsidRPr="008D38C9" w:rsidRDefault="007C023F" w:rsidP="007F37F9">
            <w:pPr>
              <w:jc w:val="center"/>
              <w:rPr>
                <w:b/>
              </w:rPr>
            </w:pPr>
          </w:p>
        </w:tc>
      </w:tr>
      <w:tr w:rsidR="007C023F" w:rsidRPr="008D38C9" w:rsidTr="007F37F9">
        <w:tc>
          <w:tcPr>
            <w:tcW w:w="2448" w:type="pct"/>
            <w:gridSpan w:val="2"/>
          </w:tcPr>
          <w:p w:rsidR="007C023F" w:rsidRPr="008D38C9" w:rsidRDefault="007001CB" w:rsidP="00AD23EE">
            <w:r w:rsidRPr="008D38C9">
              <w:t>Генеральный директор</w:t>
            </w:r>
          </w:p>
          <w:p w:rsidR="007001CB" w:rsidRPr="008D38C9" w:rsidRDefault="007001CB" w:rsidP="00AD23EE">
            <w:r w:rsidRPr="008D38C9">
              <w:t>АО «НИИЭТ»</w:t>
            </w:r>
          </w:p>
        </w:tc>
        <w:tc>
          <w:tcPr>
            <w:tcW w:w="216" w:type="pct"/>
          </w:tcPr>
          <w:p w:rsidR="007C023F" w:rsidRPr="008D38C9" w:rsidRDefault="007C023F" w:rsidP="00AD23EE"/>
        </w:tc>
        <w:tc>
          <w:tcPr>
            <w:tcW w:w="2336" w:type="pct"/>
            <w:gridSpan w:val="2"/>
          </w:tcPr>
          <w:p w:rsidR="007C023F" w:rsidRPr="008D38C9" w:rsidRDefault="007C023F" w:rsidP="00F54BE3"/>
        </w:tc>
      </w:tr>
      <w:tr w:rsidR="007C023F" w:rsidRPr="008D38C9" w:rsidTr="007F37F9">
        <w:tc>
          <w:tcPr>
            <w:tcW w:w="1406" w:type="pct"/>
          </w:tcPr>
          <w:p w:rsidR="007C023F" w:rsidRPr="008D38C9" w:rsidRDefault="007C023F" w:rsidP="00AD23EE">
            <w:pPr>
              <w:rPr>
                <w:b/>
              </w:rPr>
            </w:pPr>
          </w:p>
        </w:tc>
        <w:tc>
          <w:tcPr>
            <w:tcW w:w="1042" w:type="pct"/>
          </w:tcPr>
          <w:p w:rsidR="007C023F" w:rsidRPr="008D38C9" w:rsidRDefault="007C023F" w:rsidP="00AD23EE">
            <w:pPr>
              <w:rPr>
                <w:b/>
              </w:rPr>
            </w:pPr>
          </w:p>
        </w:tc>
        <w:tc>
          <w:tcPr>
            <w:tcW w:w="216" w:type="pct"/>
          </w:tcPr>
          <w:p w:rsidR="007C023F" w:rsidRPr="008D38C9" w:rsidRDefault="007C023F" w:rsidP="00AD23EE">
            <w:pPr>
              <w:rPr>
                <w:b/>
              </w:rPr>
            </w:pPr>
          </w:p>
        </w:tc>
        <w:tc>
          <w:tcPr>
            <w:tcW w:w="1464" w:type="pct"/>
          </w:tcPr>
          <w:p w:rsidR="007C023F" w:rsidRPr="008D38C9" w:rsidRDefault="007C023F" w:rsidP="00AD23EE">
            <w:pPr>
              <w:rPr>
                <w:b/>
              </w:rPr>
            </w:pPr>
          </w:p>
        </w:tc>
        <w:tc>
          <w:tcPr>
            <w:tcW w:w="872" w:type="pct"/>
          </w:tcPr>
          <w:p w:rsidR="007C023F" w:rsidRPr="008D38C9" w:rsidRDefault="007C023F" w:rsidP="007F37F9">
            <w:pPr>
              <w:rPr>
                <w:b/>
              </w:rPr>
            </w:pPr>
          </w:p>
        </w:tc>
      </w:tr>
      <w:tr w:rsidR="007C023F" w:rsidRPr="008D38C9" w:rsidTr="007F37F9">
        <w:tc>
          <w:tcPr>
            <w:tcW w:w="2448" w:type="pct"/>
            <w:gridSpan w:val="2"/>
          </w:tcPr>
          <w:p w:rsidR="007C023F" w:rsidRPr="008D38C9" w:rsidRDefault="007001CB" w:rsidP="00D76E8B">
            <w:pPr>
              <w:rPr>
                <w:b/>
              </w:rPr>
            </w:pPr>
            <w:r w:rsidRPr="008D38C9">
              <w:rPr>
                <w:b/>
              </w:rPr>
              <w:t>____________________ Куцько П.П.</w:t>
            </w:r>
          </w:p>
        </w:tc>
        <w:tc>
          <w:tcPr>
            <w:tcW w:w="216" w:type="pct"/>
          </w:tcPr>
          <w:p w:rsidR="007C023F" w:rsidRPr="008D38C9" w:rsidRDefault="007C023F" w:rsidP="00AD23EE">
            <w:pPr>
              <w:rPr>
                <w:b/>
              </w:rPr>
            </w:pPr>
          </w:p>
        </w:tc>
        <w:tc>
          <w:tcPr>
            <w:tcW w:w="2336" w:type="pct"/>
            <w:gridSpan w:val="2"/>
          </w:tcPr>
          <w:p w:rsidR="007C023F" w:rsidRPr="008D38C9" w:rsidRDefault="007C023F" w:rsidP="009B3C7A">
            <w:pPr>
              <w:rPr>
                <w:b/>
              </w:rPr>
            </w:pPr>
            <w:r w:rsidRPr="008D38C9">
              <w:rPr>
                <w:b/>
              </w:rPr>
              <w:t>_______________</w:t>
            </w:r>
            <w:r w:rsidR="00D76E8B" w:rsidRPr="008D38C9">
              <w:rPr>
                <w:b/>
              </w:rPr>
              <w:t>.</w:t>
            </w:r>
          </w:p>
        </w:tc>
      </w:tr>
      <w:tr w:rsidR="007C023F" w:rsidRPr="008D38C9" w:rsidTr="007F37F9">
        <w:tc>
          <w:tcPr>
            <w:tcW w:w="1406" w:type="pct"/>
          </w:tcPr>
          <w:p w:rsidR="007C023F" w:rsidRPr="008D38C9" w:rsidRDefault="007C023F" w:rsidP="00AD23EE">
            <w:r w:rsidRPr="008D38C9">
              <w:t>М.П.</w:t>
            </w:r>
          </w:p>
        </w:tc>
        <w:tc>
          <w:tcPr>
            <w:tcW w:w="1042" w:type="pct"/>
          </w:tcPr>
          <w:p w:rsidR="007C023F" w:rsidRPr="008D38C9" w:rsidRDefault="007C023F" w:rsidP="00AD23EE"/>
        </w:tc>
        <w:tc>
          <w:tcPr>
            <w:tcW w:w="216" w:type="pct"/>
          </w:tcPr>
          <w:p w:rsidR="007C023F" w:rsidRPr="008D38C9" w:rsidRDefault="007C023F" w:rsidP="00AD23EE"/>
        </w:tc>
        <w:tc>
          <w:tcPr>
            <w:tcW w:w="1464" w:type="pct"/>
          </w:tcPr>
          <w:p w:rsidR="007C023F" w:rsidRPr="008D38C9" w:rsidRDefault="007C023F" w:rsidP="00AD23EE">
            <w:r w:rsidRPr="008D38C9">
              <w:t>М.П.</w:t>
            </w:r>
          </w:p>
        </w:tc>
        <w:tc>
          <w:tcPr>
            <w:tcW w:w="872" w:type="pct"/>
          </w:tcPr>
          <w:p w:rsidR="007C023F" w:rsidRPr="008D38C9" w:rsidRDefault="007C023F" w:rsidP="007F37F9">
            <w:pPr>
              <w:jc w:val="right"/>
            </w:pPr>
          </w:p>
        </w:tc>
      </w:tr>
    </w:tbl>
    <w:p w:rsidR="007C023F" w:rsidRPr="008D38C9" w:rsidRDefault="007C023F">
      <w:pPr>
        <w:spacing w:before="120"/>
        <w:jc w:val="both"/>
        <w:rPr>
          <w:sz w:val="26"/>
          <w:szCs w:val="26"/>
        </w:rPr>
      </w:pPr>
    </w:p>
    <w:sectPr w:rsidR="007C023F" w:rsidRPr="008D38C9" w:rsidSect="008D38C9">
      <w:footerReference w:type="even" r:id="rId8"/>
      <w:footerReference w:type="default" r:id="rId9"/>
      <w:pgSz w:w="11906" w:h="16838"/>
      <w:pgMar w:top="851" w:right="850" w:bottom="1080"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99" w:rsidRDefault="009D2999">
      <w:r>
        <w:separator/>
      </w:r>
    </w:p>
  </w:endnote>
  <w:endnote w:type="continuationSeparator" w:id="0">
    <w:p w:rsidR="009D2999" w:rsidRDefault="009D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B6" w:rsidRDefault="00A925F5">
    <w:pPr>
      <w:pStyle w:val="a5"/>
      <w:framePr w:wrap="around" w:vAnchor="text" w:hAnchor="margin" w:xAlign="right" w:y="1"/>
      <w:rPr>
        <w:rStyle w:val="a6"/>
      </w:rPr>
    </w:pPr>
    <w:r>
      <w:rPr>
        <w:rStyle w:val="a6"/>
      </w:rPr>
      <w:fldChar w:fldCharType="begin"/>
    </w:r>
    <w:r w:rsidR="00C57A2F">
      <w:rPr>
        <w:rStyle w:val="a6"/>
      </w:rPr>
      <w:instrText xml:space="preserve">PAGE  </w:instrText>
    </w:r>
    <w:r>
      <w:rPr>
        <w:rStyle w:val="a6"/>
      </w:rPr>
      <w:fldChar w:fldCharType="end"/>
    </w:r>
  </w:p>
  <w:p w:rsidR="00A873B6" w:rsidRDefault="00A873B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3B6" w:rsidRDefault="00A925F5">
    <w:pPr>
      <w:pStyle w:val="a5"/>
      <w:framePr w:wrap="around" w:vAnchor="text" w:hAnchor="margin" w:xAlign="right" w:y="1"/>
      <w:rPr>
        <w:rStyle w:val="a6"/>
      </w:rPr>
    </w:pPr>
    <w:r>
      <w:rPr>
        <w:rStyle w:val="a6"/>
      </w:rPr>
      <w:fldChar w:fldCharType="begin"/>
    </w:r>
    <w:r w:rsidR="00C57A2F">
      <w:rPr>
        <w:rStyle w:val="a6"/>
      </w:rPr>
      <w:instrText xml:space="preserve">PAGE  </w:instrText>
    </w:r>
    <w:r>
      <w:rPr>
        <w:rStyle w:val="a6"/>
      </w:rPr>
      <w:fldChar w:fldCharType="separate"/>
    </w:r>
    <w:r w:rsidR="00F86D89">
      <w:rPr>
        <w:rStyle w:val="a6"/>
        <w:noProof/>
      </w:rPr>
      <w:t>3</w:t>
    </w:r>
    <w:r>
      <w:rPr>
        <w:rStyle w:val="a6"/>
      </w:rPr>
      <w:fldChar w:fldCharType="end"/>
    </w:r>
  </w:p>
  <w:p w:rsidR="00A873B6" w:rsidRDefault="00A873B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99" w:rsidRDefault="009D2999">
      <w:r>
        <w:separator/>
      </w:r>
    </w:p>
  </w:footnote>
  <w:footnote w:type="continuationSeparator" w:id="0">
    <w:p w:rsidR="009D2999" w:rsidRDefault="009D29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243"/>
    <w:multiLevelType w:val="multilevel"/>
    <w:tmpl w:val="A1E4514C"/>
    <w:lvl w:ilvl="0">
      <w:start w:val="4"/>
      <w:numFmt w:val="decimal"/>
      <w:lvlText w:val="%1."/>
      <w:lvlJc w:val="left"/>
      <w:pPr>
        <w:tabs>
          <w:tab w:val="left" w:pos="0"/>
        </w:tabs>
        <w:ind w:left="420" w:hanging="420"/>
      </w:pPr>
      <w:rPr>
        <w:rFonts w:hint="default"/>
        <w:sz w:val="20"/>
      </w:rPr>
    </w:lvl>
    <w:lvl w:ilvl="1">
      <w:start w:val="1"/>
      <w:numFmt w:val="decimal"/>
      <w:lvlText w:val="%1.%2."/>
      <w:lvlJc w:val="left"/>
      <w:pPr>
        <w:tabs>
          <w:tab w:val="left" w:pos="0"/>
        </w:tabs>
        <w:ind w:left="420" w:hanging="420"/>
      </w:pPr>
      <w:rPr>
        <w:rFonts w:hint="default"/>
        <w:sz w:val="20"/>
      </w:rPr>
    </w:lvl>
    <w:lvl w:ilvl="2">
      <w:start w:val="1"/>
      <w:numFmt w:val="decimal"/>
      <w:lvlText w:val="%1.%2.%3."/>
      <w:lvlJc w:val="left"/>
      <w:pPr>
        <w:tabs>
          <w:tab w:val="left" w:pos="0"/>
        </w:tabs>
        <w:ind w:left="720" w:hanging="720"/>
      </w:pPr>
      <w:rPr>
        <w:rFonts w:hint="default"/>
        <w:sz w:val="20"/>
      </w:rPr>
    </w:lvl>
    <w:lvl w:ilvl="3">
      <w:start w:val="1"/>
      <w:numFmt w:val="decimal"/>
      <w:lvlText w:val="%1.%2.%3.%4."/>
      <w:lvlJc w:val="left"/>
      <w:pPr>
        <w:tabs>
          <w:tab w:val="left" w:pos="0"/>
        </w:tabs>
        <w:ind w:left="720" w:hanging="720"/>
      </w:pPr>
      <w:rPr>
        <w:rFonts w:hint="default"/>
        <w:sz w:val="20"/>
      </w:rPr>
    </w:lvl>
    <w:lvl w:ilvl="4">
      <w:start w:val="1"/>
      <w:numFmt w:val="decimal"/>
      <w:lvlText w:val="%1.%2.%3.%4.%5."/>
      <w:lvlJc w:val="left"/>
      <w:pPr>
        <w:tabs>
          <w:tab w:val="left" w:pos="0"/>
        </w:tabs>
        <w:ind w:left="1080" w:hanging="1080"/>
      </w:pPr>
      <w:rPr>
        <w:rFonts w:hint="default"/>
        <w:sz w:val="20"/>
      </w:rPr>
    </w:lvl>
    <w:lvl w:ilvl="5">
      <w:start w:val="1"/>
      <w:numFmt w:val="decimal"/>
      <w:lvlText w:val="%1.%2.%3.%4.%5.%6."/>
      <w:lvlJc w:val="left"/>
      <w:pPr>
        <w:tabs>
          <w:tab w:val="left" w:pos="0"/>
        </w:tabs>
        <w:ind w:left="1080" w:hanging="1080"/>
      </w:pPr>
      <w:rPr>
        <w:rFonts w:hint="default"/>
        <w:sz w:val="20"/>
      </w:rPr>
    </w:lvl>
    <w:lvl w:ilvl="6">
      <w:start w:val="1"/>
      <w:numFmt w:val="decimal"/>
      <w:lvlText w:val="%1.%2.%3.%4.%5.%6.%7."/>
      <w:lvlJc w:val="left"/>
      <w:pPr>
        <w:tabs>
          <w:tab w:val="left" w:pos="0"/>
        </w:tabs>
        <w:ind w:left="1440" w:hanging="1440"/>
      </w:pPr>
      <w:rPr>
        <w:rFonts w:hint="default"/>
        <w:sz w:val="20"/>
      </w:rPr>
    </w:lvl>
    <w:lvl w:ilvl="7">
      <w:start w:val="1"/>
      <w:numFmt w:val="decimal"/>
      <w:lvlText w:val="%1.%2.%3.%4.%5.%6.%7.%8."/>
      <w:lvlJc w:val="left"/>
      <w:pPr>
        <w:tabs>
          <w:tab w:val="left" w:pos="0"/>
        </w:tabs>
        <w:ind w:left="1440" w:hanging="1440"/>
      </w:pPr>
      <w:rPr>
        <w:rFonts w:hint="default"/>
        <w:sz w:val="20"/>
      </w:rPr>
    </w:lvl>
    <w:lvl w:ilvl="8">
      <w:start w:val="1"/>
      <w:numFmt w:val="decimal"/>
      <w:lvlText w:val="%1.%2.%3.%4.%5.%6.%7.%8.%9."/>
      <w:lvlJc w:val="left"/>
      <w:pPr>
        <w:tabs>
          <w:tab w:val="left" w:pos="0"/>
        </w:tabs>
        <w:ind w:left="1800" w:hanging="1800"/>
      </w:pPr>
      <w:rPr>
        <w:rFonts w:hint="default"/>
        <w:sz w:val="20"/>
      </w:rPr>
    </w:lvl>
  </w:abstractNum>
  <w:abstractNum w:abstractNumId="1" w15:restartNumberingAfterBreak="0">
    <w:nsid w:val="10CC081B"/>
    <w:multiLevelType w:val="multilevel"/>
    <w:tmpl w:val="5686E464"/>
    <w:lvl w:ilvl="0">
      <w:start w:val="1"/>
      <w:numFmt w:val="decimal"/>
      <w:lvlText w:val="%1."/>
      <w:lvlJc w:val="left"/>
      <w:pPr>
        <w:tabs>
          <w:tab w:val="left" w:pos="0"/>
        </w:tabs>
        <w:ind w:left="360" w:hanging="360"/>
      </w:pPr>
      <w:rPr>
        <w:rFonts w:ascii="Times New Roman" w:hAnsi="Times New Roman" w:cs="Times New Roman" w:hint="default"/>
      </w:r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15:restartNumberingAfterBreak="0">
    <w:nsid w:val="11D972D5"/>
    <w:multiLevelType w:val="multilevel"/>
    <w:tmpl w:val="7228DBFC"/>
    <w:lvl w:ilvl="0">
      <w:start w:val="4"/>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3" w15:restartNumberingAfterBreak="0">
    <w:nsid w:val="32117258"/>
    <w:multiLevelType w:val="singleLevel"/>
    <w:tmpl w:val="B0AE7F28"/>
    <w:lvl w:ilvl="0">
      <w:start w:val="1"/>
      <w:numFmt w:val="decimal"/>
      <w:pStyle w:val="2"/>
      <w:lvlText w:val="%1."/>
      <w:lvlJc w:val="left"/>
      <w:pPr>
        <w:tabs>
          <w:tab w:val="left" w:pos="0"/>
        </w:tabs>
        <w:ind w:left="643" w:hanging="360"/>
      </w:pPr>
    </w:lvl>
  </w:abstractNum>
  <w:abstractNum w:abstractNumId="4" w15:restartNumberingAfterBreak="0">
    <w:nsid w:val="75662BF4"/>
    <w:multiLevelType w:val="multilevel"/>
    <w:tmpl w:val="CF126D3C"/>
    <w:lvl w:ilvl="0">
      <w:start w:val="7"/>
      <w:numFmt w:val="decimal"/>
      <w:lvlText w:val="%1"/>
      <w:lvlJc w:val="left"/>
      <w:pPr>
        <w:tabs>
          <w:tab w:val="left" w:pos="0"/>
        </w:tabs>
        <w:ind w:left="360" w:hanging="360"/>
      </w:pPr>
      <w:rPr>
        <w:rFonts w:hint="default"/>
      </w:rPr>
    </w:lvl>
    <w:lvl w:ilvl="1">
      <w:start w:val="1"/>
      <w:numFmt w:val="decimal"/>
      <w:lvlText w:val="6.%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5" w15:restartNumberingAfterBreak="0">
    <w:nsid w:val="75AA4D29"/>
    <w:multiLevelType w:val="multilevel"/>
    <w:tmpl w:val="AE06CFF0"/>
    <w:lvl w:ilvl="0">
      <w:start w:val="1"/>
      <w:numFmt w:val="decimal"/>
      <w:lvlText w:val="%1."/>
      <w:lvlJc w:val="left"/>
      <w:pPr>
        <w:tabs>
          <w:tab w:val="num" w:pos="640"/>
        </w:tabs>
        <w:ind w:left="640" w:hanging="432"/>
      </w:pPr>
      <w:rPr>
        <w:rFonts w:ascii="Arial" w:eastAsia="Times New Roman" w:hAnsi="Arial" w:cs="Arial" w:hint="default"/>
        <w:b w:val="0"/>
      </w:rPr>
    </w:lvl>
    <w:lvl w:ilvl="1">
      <w:start w:val="1"/>
      <w:numFmt w:val="decimal"/>
      <w:lvlText w:val="%1.%2"/>
      <w:lvlJc w:val="left"/>
      <w:pPr>
        <w:tabs>
          <w:tab w:val="num" w:pos="784"/>
        </w:tabs>
        <w:ind w:left="784" w:hanging="576"/>
      </w:pPr>
      <w:rPr>
        <w:rFonts w:ascii="Arial" w:hAnsi="Arial" w:cs="Arial" w:hint="default"/>
        <w:b w:val="0"/>
        <w:i w:val="0"/>
        <w:sz w:val="22"/>
        <w:szCs w:val="22"/>
      </w:rPr>
    </w:lvl>
    <w:lvl w:ilvl="2">
      <w:start w:val="1"/>
      <w:numFmt w:val="decimal"/>
      <w:lvlText w:val="%1.%2.%3"/>
      <w:lvlJc w:val="left"/>
      <w:pPr>
        <w:tabs>
          <w:tab w:val="num" w:pos="928"/>
        </w:tabs>
        <w:ind w:left="928" w:hanging="720"/>
      </w:pPr>
      <w:rPr>
        <w:rFonts w:ascii="Arial" w:hAnsi="Arial" w:cs="Arial" w:hint="default"/>
        <w:sz w:val="22"/>
        <w:szCs w:val="22"/>
      </w:rPr>
    </w:lvl>
    <w:lvl w:ilvl="3">
      <w:start w:val="1"/>
      <w:numFmt w:val="decimal"/>
      <w:lvlText w:val="%1.%2.%3.%4"/>
      <w:lvlJc w:val="left"/>
      <w:pPr>
        <w:tabs>
          <w:tab w:val="num" w:pos="1072"/>
        </w:tabs>
        <w:ind w:left="1072" w:hanging="864"/>
      </w:pPr>
      <w:rPr>
        <w:rFonts w:cs="Times New Roman" w:hint="default"/>
      </w:rPr>
    </w:lvl>
    <w:lvl w:ilvl="4">
      <w:start w:val="1"/>
      <w:numFmt w:val="decimal"/>
      <w:lvlText w:val="%1.%2.%3.%4.%5"/>
      <w:lvlJc w:val="left"/>
      <w:pPr>
        <w:tabs>
          <w:tab w:val="num" w:pos="1216"/>
        </w:tabs>
        <w:ind w:left="1216" w:hanging="1008"/>
      </w:pPr>
      <w:rPr>
        <w:rFonts w:cs="Times New Roman" w:hint="default"/>
      </w:rPr>
    </w:lvl>
    <w:lvl w:ilvl="5">
      <w:start w:val="1"/>
      <w:numFmt w:val="decimal"/>
      <w:lvlText w:val="%1.%2.%3.%4.%5.%6"/>
      <w:lvlJc w:val="left"/>
      <w:pPr>
        <w:tabs>
          <w:tab w:val="num" w:pos="1360"/>
        </w:tabs>
        <w:ind w:left="1360" w:hanging="1152"/>
      </w:pPr>
      <w:rPr>
        <w:rFonts w:cs="Times New Roman" w:hint="default"/>
      </w:rPr>
    </w:lvl>
    <w:lvl w:ilvl="6">
      <w:start w:val="1"/>
      <w:numFmt w:val="decimal"/>
      <w:lvlText w:val="%1.%2.%3.%4.%5.%6.%7"/>
      <w:lvlJc w:val="left"/>
      <w:pPr>
        <w:tabs>
          <w:tab w:val="num" w:pos="1504"/>
        </w:tabs>
        <w:ind w:left="1504" w:hanging="1296"/>
      </w:pPr>
      <w:rPr>
        <w:rFonts w:cs="Times New Roman" w:hint="default"/>
      </w:rPr>
    </w:lvl>
    <w:lvl w:ilvl="7">
      <w:start w:val="1"/>
      <w:numFmt w:val="decimal"/>
      <w:lvlText w:val="%1.%2.%3.%4.%5.%6.%7.%8"/>
      <w:lvlJc w:val="left"/>
      <w:pPr>
        <w:tabs>
          <w:tab w:val="num" w:pos="1648"/>
        </w:tabs>
        <w:ind w:left="1648" w:hanging="1440"/>
      </w:pPr>
      <w:rPr>
        <w:rFonts w:cs="Times New Roman" w:hint="default"/>
      </w:rPr>
    </w:lvl>
    <w:lvl w:ilvl="8">
      <w:start w:val="1"/>
      <w:numFmt w:val="decimal"/>
      <w:lvlText w:val="%1.%2.%3.%4.%5.%6.%7.%8.%9"/>
      <w:lvlJc w:val="left"/>
      <w:pPr>
        <w:tabs>
          <w:tab w:val="num" w:pos="1792"/>
        </w:tabs>
        <w:ind w:left="1792" w:hanging="1584"/>
      </w:pPr>
      <w:rPr>
        <w:rFonts w:cs="Times New Roman" w:hint="default"/>
      </w:rPr>
    </w:lvl>
  </w:abstractNum>
  <w:abstractNum w:abstractNumId="6" w15:restartNumberingAfterBreak="0">
    <w:nsid w:val="7616707D"/>
    <w:multiLevelType w:val="multilevel"/>
    <w:tmpl w:val="99421D42"/>
    <w:lvl w:ilvl="0">
      <w:start w:val="6"/>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720" w:hanging="360"/>
      </w:pPr>
      <w:rPr>
        <w:rFonts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abstractNum w:abstractNumId="7" w15:restartNumberingAfterBreak="0">
    <w:nsid w:val="7AFD11E1"/>
    <w:multiLevelType w:val="multilevel"/>
    <w:tmpl w:val="E6469710"/>
    <w:lvl w:ilvl="0">
      <w:start w:val="5"/>
      <w:numFmt w:val="decimal"/>
      <w:lvlText w:val="%1"/>
      <w:lvlJc w:val="left"/>
      <w:pPr>
        <w:tabs>
          <w:tab w:val="left" w:pos="0"/>
        </w:tabs>
        <w:ind w:left="360" w:hanging="360"/>
      </w:pPr>
      <w:rPr>
        <w:rFonts w:hint="default"/>
      </w:rPr>
    </w:lvl>
    <w:lvl w:ilvl="1">
      <w:start w:val="1"/>
      <w:numFmt w:val="decimal"/>
      <w:lvlText w:val="4.%2"/>
      <w:lvlJc w:val="left"/>
      <w:pPr>
        <w:tabs>
          <w:tab w:val="left" w:pos="0"/>
        </w:tabs>
        <w:ind w:left="720" w:hanging="360"/>
      </w:pPr>
      <w:rPr>
        <w:rFonts w:ascii="Times New Roman" w:hAnsi="Times New Roman" w:cs="Times New Roman" w:hint="default"/>
      </w:rPr>
    </w:lvl>
    <w:lvl w:ilvl="2">
      <w:start w:val="1"/>
      <w:numFmt w:val="decimal"/>
      <w:lvlText w:val="%1.%2.%3"/>
      <w:lvlJc w:val="left"/>
      <w:pPr>
        <w:tabs>
          <w:tab w:val="left" w:pos="0"/>
        </w:tabs>
        <w:ind w:left="1440" w:hanging="720"/>
      </w:pPr>
      <w:rPr>
        <w:rFonts w:hint="default"/>
      </w:rPr>
    </w:lvl>
    <w:lvl w:ilvl="3">
      <w:start w:val="1"/>
      <w:numFmt w:val="decimal"/>
      <w:lvlText w:val="%1.%2.%3.%4"/>
      <w:lvlJc w:val="left"/>
      <w:pPr>
        <w:tabs>
          <w:tab w:val="left" w:pos="0"/>
        </w:tabs>
        <w:ind w:left="2160" w:hanging="1080"/>
      </w:pPr>
      <w:rPr>
        <w:rFonts w:hint="default"/>
      </w:rPr>
    </w:lvl>
    <w:lvl w:ilvl="4">
      <w:start w:val="1"/>
      <w:numFmt w:val="decimal"/>
      <w:lvlText w:val="%1.%2.%3.%4.%5"/>
      <w:lvlJc w:val="left"/>
      <w:pPr>
        <w:tabs>
          <w:tab w:val="left" w:pos="0"/>
        </w:tabs>
        <w:ind w:left="2520" w:hanging="1080"/>
      </w:pPr>
      <w:rPr>
        <w:rFonts w:hint="default"/>
      </w:rPr>
    </w:lvl>
    <w:lvl w:ilvl="5">
      <w:start w:val="1"/>
      <w:numFmt w:val="decimal"/>
      <w:lvlText w:val="%1.%2.%3.%4.%5.%6"/>
      <w:lvlJc w:val="left"/>
      <w:pPr>
        <w:tabs>
          <w:tab w:val="left" w:pos="0"/>
        </w:tabs>
        <w:ind w:left="3240" w:hanging="1440"/>
      </w:pPr>
      <w:rPr>
        <w:rFonts w:hint="default"/>
      </w:rPr>
    </w:lvl>
    <w:lvl w:ilvl="6">
      <w:start w:val="1"/>
      <w:numFmt w:val="decimal"/>
      <w:lvlText w:val="%1.%2.%3.%4.%5.%6.%7"/>
      <w:lvlJc w:val="left"/>
      <w:pPr>
        <w:tabs>
          <w:tab w:val="left" w:pos="0"/>
        </w:tabs>
        <w:ind w:left="3600" w:hanging="1440"/>
      </w:pPr>
      <w:rPr>
        <w:rFonts w:hint="default"/>
      </w:rPr>
    </w:lvl>
    <w:lvl w:ilvl="7">
      <w:start w:val="1"/>
      <w:numFmt w:val="decimal"/>
      <w:lvlText w:val="%1.%2.%3.%4.%5.%6.%7.%8"/>
      <w:lvlJc w:val="left"/>
      <w:pPr>
        <w:tabs>
          <w:tab w:val="left" w:pos="0"/>
        </w:tabs>
        <w:ind w:left="4320" w:hanging="1800"/>
      </w:pPr>
      <w:rPr>
        <w:rFonts w:hint="default"/>
      </w:rPr>
    </w:lvl>
    <w:lvl w:ilvl="8">
      <w:start w:val="1"/>
      <w:numFmt w:val="decimal"/>
      <w:lvlText w:val="%1.%2.%3.%4.%5.%6.%7.%8.%9"/>
      <w:lvlJc w:val="left"/>
      <w:pPr>
        <w:tabs>
          <w:tab w:val="left" w:pos="0"/>
        </w:tabs>
        <w:ind w:left="5040" w:hanging="2160"/>
      </w:pPr>
      <w:rPr>
        <w:rFont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BB"/>
    <w:rsid w:val="00033686"/>
    <w:rsid w:val="000547B2"/>
    <w:rsid w:val="000B670A"/>
    <w:rsid w:val="000C01B6"/>
    <w:rsid w:val="0010507F"/>
    <w:rsid w:val="001658E3"/>
    <w:rsid w:val="00186B86"/>
    <w:rsid w:val="001A4F86"/>
    <w:rsid w:val="001E0199"/>
    <w:rsid w:val="001F43E7"/>
    <w:rsid w:val="00206D58"/>
    <w:rsid w:val="0022562A"/>
    <w:rsid w:val="00247C0C"/>
    <w:rsid w:val="002758C0"/>
    <w:rsid w:val="002C70B3"/>
    <w:rsid w:val="003046EC"/>
    <w:rsid w:val="00390597"/>
    <w:rsid w:val="003A1E2C"/>
    <w:rsid w:val="003E3BE4"/>
    <w:rsid w:val="003E5E9B"/>
    <w:rsid w:val="003E6F60"/>
    <w:rsid w:val="003F12CA"/>
    <w:rsid w:val="00416027"/>
    <w:rsid w:val="00441066"/>
    <w:rsid w:val="00454FAB"/>
    <w:rsid w:val="00456A11"/>
    <w:rsid w:val="00462146"/>
    <w:rsid w:val="004762EC"/>
    <w:rsid w:val="00486B4B"/>
    <w:rsid w:val="004A607B"/>
    <w:rsid w:val="004B35EE"/>
    <w:rsid w:val="00500435"/>
    <w:rsid w:val="00501F29"/>
    <w:rsid w:val="00504A90"/>
    <w:rsid w:val="00536D4B"/>
    <w:rsid w:val="00554B70"/>
    <w:rsid w:val="005706E0"/>
    <w:rsid w:val="0058162F"/>
    <w:rsid w:val="00595286"/>
    <w:rsid w:val="005A31B0"/>
    <w:rsid w:val="005A336E"/>
    <w:rsid w:val="005B6ED9"/>
    <w:rsid w:val="005D5949"/>
    <w:rsid w:val="00610935"/>
    <w:rsid w:val="00621BD6"/>
    <w:rsid w:val="0062233F"/>
    <w:rsid w:val="00625239"/>
    <w:rsid w:val="0063138A"/>
    <w:rsid w:val="00637F0C"/>
    <w:rsid w:val="006775C8"/>
    <w:rsid w:val="006A2304"/>
    <w:rsid w:val="006E2C30"/>
    <w:rsid w:val="007001CB"/>
    <w:rsid w:val="007032FF"/>
    <w:rsid w:val="007124F6"/>
    <w:rsid w:val="0075036C"/>
    <w:rsid w:val="00783BCF"/>
    <w:rsid w:val="007840E7"/>
    <w:rsid w:val="00785A9E"/>
    <w:rsid w:val="007877DC"/>
    <w:rsid w:val="00792F0A"/>
    <w:rsid w:val="007A5D9F"/>
    <w:rsid w:val="007C023F"/>
    <w:rsid w:val="007D4AA4"/>
    <w:rsid w:val="00822062"/>
    <w:rsid w:val="00833BA2"/>
    <w:rsid w:val="0084423A"/>
    <w:rsid w:val="00856ABC"/>
    <w:rsid w:val="008739D7"/>
    <w:rsid w:val="008D38C9"/>
    <w:rsid w:val="0092728F"/>
    <w:rsid w:val="00957857"/>
    <w:rsid w:val="00981E3B"/>
    <w:rsid w:val="009B3C7A"/>
    <w:rsid w:val="009D2999"/>
    <w:rsid w:val="009E0C12"/>
    <w:rsid w:val="00A21CD6"/>
    <w:rsid w:val="00A522EF"/>
    <w:rsid w:val="00A77F98"/>
    <w:rsid w:val="00A873B6"/>
    <w:rsid w:val="00A912FD"/>
    <w:rsid w:val="00A925F5"/>
    <w:rsid w:val="00A949B0"/>
    <w:rsid w:val="00A97D4F"/>
    <w:rsid w:val="00AA0DCF"/>
    <w:rsid w:val="00AB028F"/>
    <w:rsid w:val="00AD23EE"/>
    <w:rsid w:val="00B121BA"/>
    <w:rsid w:val="00B55E66"/>
    <w:rsid w:val="00B75C0C"/>
    <w:rsid w:val="00B75D78"/>
    <w:rsid w:val="00B9531E"/>
    <w:rsid w:val="00BA1854"/>
    <w:rsid w:val="00BC06C0"/>
    <w:rsid w:val="00BE48AE"/>
    <w:rsid w:val="00C1070B"/>
    <w:rsid w:val="00C11DD7"/>
    <w:rsid w:val="00C132BB"/>
    <w:rsid w:val="00C31394"/>
    <w:rsid w:val="00C57A2F"/>
    <w:rsid w:val="00C61BBF"/>
    <w:rsid w:val="00C6386E"/>
    <w:rsid w:val="00C81EDC"/>
    <w:rsid w:val="00C9083C"/>
    <w:rsid w:val="00CC5543"/>
    <w:rsid w:val="00CD0624"/>
    <w:rsid w:val="00CD3A88"/>
    <w:rsid w:val="00CE1799"/>
    <w:rsid w:val="00D50E3C"/>
    <w:rsid w:val="00D6253E"/>
    <w:rsid w:val="00D6347A"/>
    <w:rsid w:val="00D76E8B"/>
    <w:rsid w:val="00DB4CD5"/>
    <w:rsid w:val="00DD0C68"/>
    <w:rsid w:val="00E25269"/>
    <w:rsid w:val="00E50A5E"/>
    <w:rsid w:val="00EA5601"/>
    <w:rsid w:val="00EB5E3D"/>
    <w:rsid w:val="00ED08BC"/>
    <w:rsid w:val="00EF3C10"/>
    <w:rsid w:val="00F25F68"/>
    <w:rsid w:val="00F34BFC"/>
    <w:rsid w:val="00F35762"/>
    <w:rsid w:val="00F544E2"/>
    <w:rsid w:val="00F54BE3"/>
    <w:rsid w:val="00F57661"/>
    <w:rsid w:val="00F72D15"/>
    <w:rsid w:val="00F831A6"/>
    <w:rsid w:val="00F86D89"/>
    <w:rsid w:val="00FB0A40"/>
    <w:rsid w:val="00FB4421"/>
    <w:rsid w:val="00FC26AD"/>
    <w:rsid w:val="00FD1F02"/>
    <w:rsid w:val="00FF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83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ED9"/>
    <w:rPr>
      <w:sz w:val="24"/>
      <w:szCs w:val="24"/>
    </w:rPr>
  </w:style>
  <w:style w:type="paragraph" w:styleId="1">
    <w:name w:val="heading 1"/>
    <w:basedOn w:val="a"/>
    <w:qFormat/>
    <w:rsid w:val="005B6ED9"/>
    <w:pPr>
      <w:keepNext/>
      <w:jc w:val="both"/>
      <w:outlineLvl w:val="0"/>
    </w:pPr>
    <w:rPr>
      <w:b/>
      <w:sz w:val="28"/>
    </w:rPr>
  </w:style>
  <w:style w:type="paragraph" w:styleId="20">
    <w:name w:val="heading 2"/>
    <w:basedOn w:val="a"/>
    <w:qFormat/>
    <w:rsid w:val="005B6ED9"/>
    <w:pPr>
      <w:keepNext/>
      <w:keepLines/>
      <w:spacing w:line="240" w:lineRule="exact"/>
      <w:outlineLvl w:val="1"/>
    </w:pPr>
    <w:rPr>
      <w:b/>
      <w:sz w:val="28"/>
    </w:rPr>
  </w:style>
  <w:style w:type="paragraph" w:styleId="3">
    <w:name w:val="heading 3"/>
    <w:basedOn w:val="a"/>
    <w:qFormat/>
    <w:rsid w:val="005B6ED9"/>
    <w:pPr>
      <w:keepNext/>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6ED9"/>
    <w:pPr>
      <w:jc w:val="center"/>
    </w:pPr>
    <w:rPr>
      <w:sz w:val="32"/>
    </w:rPr>
  </w:style>
  <w:style w:type="paragraph" w:styleId="a4">
    <w:name w:val="Body Text"/>
    <w:basedOn w:val="a"/>
    <w:rsid w:val="005B6ED9"/>
    <w:pPr>
      <w:spacing w:after="120"/>
      <w:jc w:val="both"/>
    </w:pPr>
    <w:rPr>
      <w:sz w:val="28"/>
    </w:rPr>
  </w:style>
  <w:style w:type="paragraph" w:styleId="a5">
    <w:name w:val="footer"/>
    <w:basedOn w:val="a"/>
    <w:rsid w:val="005B6ED9"/>
    <w:pPr>
      <w:tabs>
        <w:tab w:val="center" w:pos="4677"/>
        <w:tab w:val="right" w:pos="9355"/>
      </w:tabs>
    </w:pPr>
  </w:style>
  <w:style w:type="character" w:styleId="a6">
    <w:name w:val="page number"/>
    <w:basedOn w:val="a0"/>
    <w:rsid w:val="005B6ED9"/>
  </w:style>
  <w:style w:type="paragraph" w:styleId="a7">
    <w:name w:val="Body Text Indent"/>
    <w:basedOn w:val="a"/>
    <w:rsid w:val="005B6ED9"/>
    <w:pPr>
      <w:spacing w:after="120"/>
      <w:ind w:left="720" w:hanging="720"/>
      <w:jc w:val="both"/>
    </w:pPr>
    <w:rPr>
      <w:sz w:val="28"/>
    </w:rPr>
  </w:style>
  <w:style w:type="paragraph" w:styleId="21">
    <w:name w:val="Body Text Indent 2"/>
    <w:basedOn w:val="a"/>
    <w:rsid w:val="005B6ED9"/>
    <w:pPr>
      <w:spacing w:after="120"/>
      <w:ind w:left="900" w:hanging="540"/>
      <w:jc w:val="both"/>
    </w:pPr>
    <w:rPr>
      <w:sz w:val="28"/>
    </w:rPr>
  </w:style>
  <w:style w:type="paragraph" w:styleId="30">
    <w:name w:val="Body Text Indent 3"/>
    <w:basedOn w:val="a"/>
    <w:rsid w:val="005B6ED9"/>
    <w:pPr>
      <w:spacing w:after="120"/>
      <w:ind w:left="1260" w:hanging="900"/>
      <w:jc w:val="both"/>
    </w:pPr>
    <w:rPr>
      <w:sz w:val="28"/>
    </w:rPr>
  </w:style>
  <w:style w:type="paragraph" w:customStyle="1" w:styleId="MELegal1">
    <w:name w:val="ME Legal 1"/>
    <w:basedOn w:val="a"/>
    <w:rsid w:val="005B6ED9"/>
    <w:pPr>
      <w:keepNext/>
      <w:spacing w:before="120" w:after="240"/>
      <w:outlineLvl w:val="0"/>
    </w:pPr>
    <w:rPr>
      <w:b/>
      <w:szCs w:val="20"/>
      <w:lang w:val="en-AU" w:eastAsia="en-US"/>
    </w:rPr>
  </w:style>
  <w:style w:type="paragraph" w:customStyle="1" w:styleId="Signed">
    <w:name w:val="Signed"/>
    <w:basedOn w:val="a"/>
    <w:rsid w:val="005B6ED9"/>
    <w:pPr>
      <w:tabs>
        <w:tab w:val="center" w:pos="1701"/>
        <w:tab w:val="center" w:pos="6237"/>
      </w:tabs>
      <w:spacing w:after="80"/>
      <w:jc w:val="both"/>
    </w:pPr>
    <w:rPr>
      <w:rFonts w:ascii="TimesET" w:hAnsi="TimesET"/>
      <w:szCs w:val="20"/>
    </w:rPr>
  </w:style>
  <w:style w:type="paragraph" w:customStyle="1" w:styleId="10">
    <w:name w:val="Текст выноски1"/>
    <w:basedOn w:val="a"/>
    <w:rsid w:val="005B6ED9"/>
    <w:rPr>
      <w:rFonts w:ascii="Tahoma" w:hAnsi="Tahoma" w:cs="Tahoma"/>
      <w:sz w:val="16"/>
      <w:szCs w:val="16"/>
    </w:rPr>
  </w:style>
  <w:style w:type="paragraph" w:styleId="22">
    <w:name w:val="Body Text 2"/>
    <w:basedOn w:val="a"/>
    <w:rsid w:val="005B6ED9"/>
    <w:pPr>
      <w:spacing w:after="120" w:line="480" w:lineRule="auto"/>
    </w:pPr>
  </w:style>
  <w:style w:type="paragraph" w:styleId="23">
    <w:name w:val="List Continue 2"/>
    <w:basedOn w:val="a"/>
    <w:rsid w:val="005B6ED9"/>
    <w:pPr>
      <w:spacing w:line="360" w:lineRule="auto"/>
      <w:ind w:left="566"/>
      <w:jc w:val="both"/>
    </w:pPr>
    <w:rPr>
      <w:rFonts w:ascii="Arial" w:hAnsi="Arial"/>
      <w:sz w:val="22"/>
      <w:szCs w:val="20"/>
    </w:rPr>
  </w:style>
  <w:style w:type="paragraph" w:styleId="a8">
    <w:name w:val="Balloon Text"/>
    <w:basedOn w:val="a"/>
    <w:rsid w:val="005B6ED9"/>
    <w:rPr>
      <w:rFonts w:ascii="Tahoma" w:hAnsi="Tahoma" w:cs="Tahoma"/>
      <w:sz w:val="16"/>
      <w:szCs w:val="16"/>
    </w:rPr>
  </w:style>
  <w:style w:type="paragraph" w:styleId="2">
    <w:name w:val="List Number 2"/>
    <w:basedOn w:val="a"/>
    <w:rsid w:val="005B6ED9"/>
    <w:pPr>
      <w:numPr>
        <w:numId w:val="7"/>
      </w:numPr>
      <w:contextualSpacing/>
    </w:pPr>
  </w:style>
  <w:style w:type="paragraph" w:styleId="a9">
    <w:name w:val="header"/>
    <w:basedOn w:val="a"/>
    <w:link w:val="aa"/>
    <w:rsid w:val="005B6ED9"/>
    <w:pPr>
      <w:tabs>
        <w:tab w:val="center" w:pos="4677"/>
        <w:tab w:val="right" w:pos="9355"/>
      </w:tabs>
    </w:pPr>
  </w:style>
  <w:style w:type="character" w:customStyle="1" w:styleId="aa">
    <w:name w:val="Верхний колонтитул Знак"/>
    <w:basedOn w:val="a0"/>
    <w:link w:val="a9"/>
    <w:rsid w:val="005B6ED9"/>
    <w:rPr>
      <w:sz w:val="24"/>
      <w:szCs w:val="24"/>
    </w:rPr>
  </w:style>
  <w:style w:type="paragraph" w:customStyle="1" w:styleId="BodyTable">
    <w:name w:val="BodyTable"/>
    <w:basedOn w:val="a4"/>
    <w:uiPriority w:val="99"/>
    <w:rsid w:val="005B6ED9"/>
    <w:pPr>
      <w:tabs>
        <w:tab w:val="left" w:pos="9000"/>
        <w:tab w:val="left" w:pos="9180"/>
      </w:tabs>
      <w:spacing w:before="120" w:after="0"/>
    </w:pPr>
    <w:rPr>
      <w:rFonts w:ascii="Arial" w:hAnsi="Arial"/>
      <w:sz w:val="22"/>
      <w:szCs w:val="22"/>
    </w:rPr>
  </w:style>
  <w:style w:type="paragraph" w:customStyle="1" w:styleId="11">
    <w:name w:val="Обычный1"/>
    <w:rsid w:val="006A2304"/>
    <w:pPr>
      <w:spacing w:line="276" w:lineRule="auto"/>
    </w:pPr>
    <w:rPr>
      <w:rFonts w:ascii="Arial" w:eastAsia="Arial" w:hAnsi="Arial" w:cs="Arial"/>
      <w:sz w:val="22"/>
      <w:szCs w:val="22"/>
    </w:rPr>
  </w:style>
  <w:style w:type="paragraph" w:styleId="ab">
    <w:name w:val="List Paragraph"/>
    <w:basedOn w:val="a"/>
    <w:uiPriority w:val="34"/>
    <w:qFormat/>
    <w:rsid w:val="009B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17462">
      <w:bodyDiv w:val="1"/>
      <w:marLeft w:val="0"/>
      <w:marRight w:val="0"/>
      <w:marTop w:val="0"/>
      <w:marBottom w:val="0"/>
      <w:divBdr>
        <w:top w:val="none" w:sz="0" w:space="0" w:color="auto"/>
        <w:left w:val="none" w:sz="0" w:space="0" w:color="auto"/>
        <w:bottom w:val="none" w:sz="0" w:space="0" w:color="auto"/>
        <w:right w:val="none" w:sz="0" w:space="0" w:color="auto"/>
      </w:divBdr>
    </w:div>
    <w:div w:id="1779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86E5-C44B-41ED-8891-0F198873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2022-05-18T07:30:00Z</dcterms:created>
  <dcterms:modified xsi:type="dcterms:W3CDTF">2025-06-23T05:50:00Z</dcterms:modified>
</cp:coreProperties>
</file>